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490" w:rsidRDefault="00D82490">
      <w:pPr>
        <w:jc w:val="right"/>
        <w:rPr>
          <w:rFonts w:ascii="Verdana" w:hAnsi="Verdana" w:cs="Verdana"/>
          <w:b/>
          <w:bCs/>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 o:spid="_x0000_s1026" type="#_x0000_t75" style="position:absolute;left:0;text-align:left;margin-left:11.75pt;margin-top:-32.2pt;width:189pt;height:83.9pt;z-index:251658240;visibility:visible">
            <v:imagedata r:id="rId7" o:title=""/>
            <w10:wrap type="topAndBottom"/>
          </v:shape>
        </w:pict>
      </w:r>
    </w:p>
    <w:p w:rsidR="00D82490" w:rsidRDefault="00D82490">
      <w:pPr>
        <w:jc w:val="right"/>
        <w:rPr>
          <w:rFonts w:ascii="Verdana" w:hAnsi="Verdana" w:cs="Verdana"/>
          <w:sz w:val="20"/>
          <w:szCs w:val="20"/>
        </w:rPr>
      </w:pP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p>
    <w:p w:rsidR="00D82490" w:rsidRDefault="00D82490">
      <w:pPr>
        <w:ind w:firstLine="708"/>
        <w:jc w:val="both"/>
        <w:rPr>
          <w:rFonts w:ascii="Verdana" w:hAnsi="Verdana" w:cs="Verdana"/>
          <w:sz w:val="20"/>
          <w:szCs w:val="20"/>
        </w:rPr>
      </w:pPr>
      <w:r>
        <w:rPr>
          <w:rFonts w:ascii="Verdana" w:hAnsi="Verdana" w:cs="Verdana"/>
          <w:sz w:val="20"/>
          <w:szCs w:val="20"/>
        </w:rPr>
        <w:t>206</w:t>
      </w:r>
      <w:bookmarkStart w:id="0" w:name="_GoBack"/>
      <w:bookmarkEnd w:id="0"/>
      <w:r>
        <w:rPr>
          <w:rFonts w:ascii="Verdana" w:hAnsi="Verdana" w:cs="Verdana"/>
          <w:sz w:val="20"/>
          <w:szCs w:val="20"/>
        </w:rPr>
        <w:t>/14</w:t>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t>Roma, 20.10.2014</w:t>
      </w:r>
    </w:p>
    <w:p w:rsidR="00D82490" w:rsidRDefault="00D82490">
      <w:pPr>
        <w:pStyle w:val="BodyText2"/>
        <w:rPr>
          <w:rFonts w:ascii="Verdana" w:hAnsi="Verdana" w:cs="Verdana"/>
          <w:b w:val="0"/>
          <w:bCs w:val="0"/>
          <w:sz w:val="20"/>
          <w:szCs w:val="20"/>
        </w:rPr>
      </w:pPr>
    </w:p>
    <w:p w:rsidR="00D82490" w:rsidRDefault="00D82490">
      <w:pPr>
        <w:pStyle w:val="BodyText2"/>
        <w:rPr>
          <w:rFonts w:ascii="Verdana" w:hAnsi="Verdana" w:cs="Verdana"/>
          <w:b w:val="0"/>
          <w:bCs w:val="0"/>
          <w:sz w:val="20"/>
          <w:szCs w:val="20"/>
        </w:rPr>
      </w:pPr>
    </w:p>
    <w:p w:rsidR="00D82490" w:rsidRPr="0059756E" w:rsidRDefault="00D82490" w:rsidP="00F11ECC">
      <w:pPr>
        <w:shd w:val="clear" w:color="auto" w:fill="FFFFFF"/>
        <w:jc w:val="center"/>
        <w:outlineLvl w:val="0"/>
        <w:rPr>
          <w:rFonts w:ascii="Verdana" w:hAnsi="Verdana" w:cs="Verdana"/>
          <w:color w:val="000000"/>
          <w:kern w:val="36"/>
          <w:sz w:val="24"/>
          <w:szCs w:val="24"/>
          <w:u w:val="single"/>
        </w:rPr>
      </w:pPr>
      <w:r>
        <w:rPr>
          <w:rFonts w:ascii="Verdana" w:hAnsi="Verdana" w:cs="Verdana"/>
          <w:color w:val="000000"/>
          <w:kern w:val="36"/>
          <w:sz w:val="24"/>
          <w:szCs w:val="24"/>
          <w:u w:val="single"/>
        </w:rPr>
        <w:t xml:space="preserve">Ancora nessun effetto dalla norma taglia-bollette e rischio di ulteriori aumenti per </w:t>
      </w:r>
      <w:r w:rsidRPr="0059756E">
        <w:rPr>
          <w:rFonts w:ascii="Verdana" w:hAnsi="Verdana" w:cs="Verdana"/>
          <w:color w:val="000000"/>
          <w:kern w:val="36"/>
          <w:sz w:val="24"/>
          <w:szCs w:val="24"/>
          <w:u w:val="single"/>
        </w:rPr>
        <w:t>la crisi russo-ucraina</w:t>
      </w:r>
      <w:r>
        <w:rPr>
          <w:rFonts w:ascii="Verdana" w:hAnsi="Verdana" w:cs="Verdana"/>
          <w:color w:val="000000"/>
          <w:kern w:val="36"/>
          <w:sz w:val="24"/>
          <w:szCs w:val="24"/>
          <w:u w:val="single"/>
        </w:rPr>
        <w:t>.</w:t>
      </w:r>
    </w:p>
    <w:p w:rsidR="00D82490" w:rsidRPr="0059756E" w:rsidRDefault="00D82490" w:rsidP="00F11ECC">
      <w:pPr>
        <w:shd w:val="clear" w:color="auto" w:fill="FFFFFF"/>
        <w:jc w:val="center"/>
        <w:outlineLvl w:val="0"/>
        <w:rPr>
          <w:rFonts w:ascii="Verdana" w:hAnsi="Verdana" w:cs="Verdana"/>
          <w:color w:val="000000"/>
          <w:kern w:val="36"/>
          <w:sz w:val="20"/>
          <w:szCs w:val="20"/>
          <w:u w:val="single"/>
        </w:rPr>
      </w:pPr>
    </w:p>
    <w:p w:rsidR="00D82490" w:rsidRDefault="00D82490" w:rsidP="00F11ECC">
      <w:pPr>
        <w:shd w:val="clear" w:color="auto" w:fill="FFFFFF"/>
        <w:jc w:val="center"/>
        <w:outlineLvl w:val="0"/>
        <w:rPr>
          <w:rFonts w:ascii="Verdana" w:hAnsi="Verdana" w:cs="Verdana"/>
          <w:b/>
          <w:bCs/>
          <w:caps/>
          <w:color w:val="000000"/>
          <w:kern w:val="36"/>
          <w:sz w:val="24"/>
          <w:szCs w:val="24"/>
        </w:rPr>
      </w:pPr>
      <w:r>
        <w:rPr>
          <w:rFonts w:ascii="Verdana" w:hAnsi="Verdana" w:cs="Verdana"/>
          <w:b/>
          <w:bCs/>
          <w:caps/>
          <w:color w:val="000000"/>
          <w:kern w:val="36"/>
          <w:sz w:val="24"/>
          <w:szCs w:val="24"/>
        </w:rPr>
        <w:t xml:space="preserve">INDICE COSTO ELETTRICITà </w:t>
      </w:r>
      <w:r w:rsidRPr="00FA2B60">
        <w:rPr>
          <w:rFonts w:ascii="Verdana" w:hAnsi="Verdana" w:cs="Verdana"/>
          <w:b/>
          <w:bCs/>
          <w:caps/>
          <w:color w:val="000000"/>
          <w:kern w:val="36"/>
          <w:sz w:val="24"/>
          <w:szCs w:val="24"/>
        </w:rPr>
        <w:t>per imprese terziario</w:t>
      </w:r>
      <w:r>
        <w:rPr>
          <w:rFonts w:ascii="Verdana" w:hAnsi="Verdana" w:cs="Verdana"/>
          <w:b/>
          <w:bCs/>
          <w:caps/>
          <w:color w:val="000000"/>
          <w:kern w:val="36"/>
          <w:sz w:val="24"/>
          <w:szCs w:val="24"/>
        </w:rPr>
        <w:t xml:space="preserve"> IV TRIMESTRE:</w:t>
      </w:r>
    </w:p>
    <w:p w:rsidR="00D82490" w:rsidRPr="00FA2B60" w:rsidRDefault="00D82490" w:rsidP="00F11ECC">
      <w:pPr>
        <w:shd w:val="clear" w:color="auto" w:fill="FFFFFF"/>
        <w:jc w:val="center"/>
        <w:outlineLvl w:val="0"/>
        <w:rPr>
          <w:rFonts w:ascii="Verdana" w:hAnsi="Verdana" w:cs="Verdana"/>
          <w:b/>
          <w:bCs/>
          <w:caps/>
          <w:color w:val="000000"/>
          <w:kern w:val="36"/>
          <w:sz w:val="24"/>
          <w:szCs w:val="24"/>
        </w:rPr>
      </w:pPr>
      <w:r>
        <w:rPr>
          <w:rFonts w:ascii="Verdana" w:hAnsi="Verdana" w:cs="Verdana"/>
          <w:b/>
          <w:bCs/>
          <w:caps/>
          <w:color w:val="000000"/>
          <w:kern w:val="36"/>
          <w:sz w:val="24"/>
          <w:szCs w:val="24"/>
        </w:rPr>
        <w:t>ENERGIA SEMPRE PIU’ CARA, AL FISCO IL 53,6% DElla bolletta</w:t>
      </w:r>
    </w:p>
    <w:p w:rsidR="00D82490" w:rsidRPr="0059756E" w:rsidRDefault="00D82490" w:rsidP="00F11ECC">
      <w:pPr>
        <w:shd w:val="clear" w:color="auto" w:fill="FFFFFF"/>
        <w:rPr>
          <w:rFonts w:ascii="Verdana" w:hAnsi="Verdana" w:cs="Verdana"/>
          <w:color w:val="000000"/>
          <w:sz w:val="20"/>
          <w:szCs w:val="20"/>
        </w:rPr>
      </w:pPr>
    </w:p>
    <w:p w:rsidR="00D82490" w:rsidRPr="0059756E" w:rsidRDefault="00D82490" w:rsidP="00F11ECC">
      <w:pPr>
        <w:shd w:val="clear" w:color="auto" w:fill="FFFFFF"/>
        <w:rPr>
          <w:rFonts w:ascii="Verdana" w:hAnsi="Verdana" w:cs="Verdana"/>
          <w:color w:val="000000"/>
          <w:sz w:val="20"/>
          <w:szCs w:val="20"/>
        </w:rPr>
      </w:pPr>
    </w:p>
    <w:p w:rsidR="00D82490" w:rsidRPr="0055676D" w:rsidRDefault="00D82490" w:rsidP="0055676D">
      <w:pPr>
        <w:shd w:val="clear" w:color="auto" w:fill="FFFFFF"/>
        <w:jc w:val="both"/>
        <w:rPr>
          <w:rFonts w:ascii="Verdana" w:hAnsi="Verdana" w:cs="Verdana"/>
          <w:color w:val="000000"/>
          <w:sz w:val="22"/>
          <w:szCs w:val="22"/>
        </w:rPr>
      </w:pPr>
      <w:r>
        <w:rPr>
          <w:rFonts w:ascii="Verdana" w:hAnsi="Verdana" w:cs="Verdana"/>
          <w:color w:val="000000"/>
          <w:sz w:val="22"/>
          <w:szCs w:val="22"/>
        </w:rPr>
        <w:t>L</w:t>
      </w:r>
      <w:r w:rsidRPr="0055676D">
        <w:rPr>
          <w:rFonts w:ascii="Verdana" w:hAnsi="Verdana" w:cs="Verdana"/>
          <w:color w:val="000000"/>
          <w:sz w:val="22"/>
          <w:szCs w:val="22"/>
        </w:rPr>
        <w:t>’Indice Costo Elettricità Terziario (ICET)</w:t>
      </w:r>
      <w:r>
        <w:rPr>
          <w:rFonts w:ascii="Verdana" w:hAnsi="Verdana" w:cs="Verdana"/>
          <w:color w:val="000000"/>
          <w:sz w:val="22"/>
          <w:szCs w:val="22"/>
        </w:rPr>
        <w:t xml:space="preserve"> di Confcommercio</w:t>
      </w:r>
      <w:r w:rsidRPr="0055676D">
        <w:rPr>
          <w:rFonts w:ascii="Verdana" w:hAnsi="Verdana" w:cs="Verdana"/>
          <w:color w:val="000000"/>
          <w:sz w:val="22"/>
          <w:szCs w:val="22"/>
        </w:rPr>
        <w:t xml:space="preserve">, </w:t>
      </w:r>
      <w:r>
        <w:rPr>
          <w:rFonts w:ascii="Verdana" w:hAnsi="Verdana" w:cs="Verdana"/>
          <w:color w:val="000000"/>
          <w:sz w:val="22"/>
          <w:szCs w:val="22"/>
        </w:rPr>
        <w:t>a</w:t>
      </w:r>
      <w:r w:rsidRPr="0055676D">
        <w:rPr>
          <w:rFonts w:ascii="Verdana" w:hAnsi="Verdana" w:cs="Verdana"/>
          <w:color w:val="000000"/>
          <w:sz w:val="22"/>
          <w:szCs w:val="22"/>
        </w:rPr>
        <w:t xml:space="preserve"> seguito dell’ultimo aggiornamento delle condizioni economiche di maggior tutela deliberato dall’Autorità per l’energia elettrica, il gas e il servizio idrico (AEEGSI), rileva </w:t>
      </w:r>
      <w:r>
        <w:rPr>
          <w:rFonts w:ascii="Verdana" w:hAnsi="Verdana" w:cs="Verdana"/>
          <w:color w:val="000000"/>
          <w:sz w:val="22"/>
          <w:szCs w:val="22"/>
        </w:rPr>
        <w:t xml:space="preserve">per il 4° trimestre 2014 </w:t>
      </w:r>
      <w:r w:rsidRPr="0055676D">
        <w:rPr>
          <w:rFonts w:ascii="Verdana" w:hAnsi="Verdana" w:cs="Verdana"/>
          <w:color w:val="000000"/>
          <w:sz w:val="22"/>
          <w:szCs w:val="22"/>
        </w:rPr>
        <w:t>un aumento del 3</w:t>
      </w:r>
      <w:r>
        <w:rPr>
          <w:rFonts w:ascii="Verdana" w:hAnsi="Verdana" w:cs="Verdana"/>
          <w:color w:val="000000"/>
          <w:sz w:val="22"/>
          <w:szCs w:val="22"/>
        </w:rPr>
        <w:t>,</w:t>
      </w:r>
      <w:r w:rsidRPr="0055676D">
        <w:rPr>
          <w:rFonts w:ascii="Verdana" w:hAnsi="Verdana" w:cs="Verdana"/>
          <w:color w:val="000000"/>
          <w:sz w:val="22"/>
          <w:szCs w:val="22"/>
        </w:rPr>
        <w:t>9% r</w:t>
      </w:r>
      <w:r>
        <w:rPr>
          <w:rFonts w:ascii="Verdana" w:hAnsi="Verdana" w:cs="Verdana"/>
          <w:color w:val="000000"/>
          <w:sz w:val="22"/>
          <w:szCs w:val="22"/>
        </w:rPr>
        <w:t>ispetto al trimestre precedente e del 2,5% su base annuale.</w:t>
      </w:r>
    </w:p>
    <w:p w:rsidR="00D82490" w:rsidRPr="0055676D" w:rsidRDefault="00D82490" w:rsidP="0055676D">
      <w:pPr>
        <w:shd w:val="clear" w:color="auto" w:fill="FFFFFF"/>
        <w:jc w:val="both"/>
        <w:rPr>
          <w:rFonts w:ascii="Verdana" w:hAnsi="Verdana" w:cs="Verdana"/>
          <w:color w:val="000000"/>
          <w:sz w:val="22"/>
          <w:szCs w:val="22"/>
        </w:rPr>
      </w:pPr>
      <w:r>
        <w:rPr>
          <w:rFonts w:ascii="Verdana" w:hAnsi="Verdana" w:cs="Verdana"/>
          <w:color w:val="000000"/>
          <w:sz w:val="22"/>
          <w:szCs w:val="22"/>
        </w:rPr>
        <w:t>L</w:t>
      </w:r>
      <w:r w:rsidRPr="0055676D">
        <w:rPr>
          <w:rFonts w:ascii="Verdana" w:hAnsi="Verdana" w:cs="Verdana"/>
          <w:color w:val="000000"/>
          <w:sz w:val="22"/>
          <w:szCs w:val="22"/>
        </w:rPr>
        <w:t>’indice</w:t>
      </w:r>
      <w:r>
        <w:rPr>
          <w:rFonts w:ascii="Verdana" w:hAnsi="Verdana" w:cs="Verdana"/>
          <w:color w:val="000000"/>
          <w:sz w:val="22"/>
          <w:szCs w:val="22"/>
        </w:rPr>
        <w:t xml:space="preserve">, </w:t>
      </w:r>
      <w:r w:rsidRPr="0055676D">
        <w:rPr>
          <w:rFonts w:ascii="Verdana" w:hAnsi="Verdana" w:cs="Verdana"/>
          <w:color w:val="000000"/>
          <w:sz w:val="22"/>
          <w:szCs w:val="22"/>
        </w:rPr>
        <w:t>che misura l’andamento della spesa per la fornitura di energia elettrica sostenuta in regime di maggior tutela dai profili tipo di imprese del settore dei servizi</w:t>
      </w:r>
      <w:r>
        <w:rPr>
          <w:rFonts w:ascii="Verdana" w:hAnsi="Verdana" w:cs="Verdana"/>
          <w:color w:val="000000"/>
          <w:sz w:val="22"/>
          <w:szCs w:val="22"/>
        </w:rPr>
        <w:t>,</w:t>
      </w:r>
      <w:r w:rsidRPr="0055676D">
        <w:rPr>
          <w:rFonts w:ascii="Verdana" w:hAnsi="Verdana" w:cs="Verdana"/>
          <w:color w:val="000000"/>
          <w:sz w:val="22"/>
          <w:szCs w:val="22"/>
        </w:rPr>
        <w:t xml:space="preserve"> </w:t>
      </w:r>
      <w:r w:rsidRPr="00FD1380">
        <w:rPr>
          <w:rFonts w:ascii="Verdana" w:hAnsi="Verdana" w:cs="Verdana"/>
          <w:color w:val="000000"/>
          <w:sz w:val="22"/>
          <w:szCs w:val="22"/>
        </w:rPr>
        <w:t>segna così un nuovo record attestandosi a quota 135,64 punti contro i 130,55 del terzo</w:t>
      </w:r>
      <w:r w:rsidRPr="0055676D">
        <w:rPr>
          <w:rFonts w:ascii="Verdana" w:hAnsi="Verdana" w:cs="Verdana"/>
          <w:color w:val="000000"/>
          <w:sz w:val="22"/>
          <w:szCs w:val="22"/>
        </w:rPr>
        <w:t xml:space="preserve"> trimestre</w:t>
      </w:r>
      <w:r>
        <w:rPr>
          <w:rFonts w:ascii="Verdana" w:hAnsi="Verdana" w:cs="Verdana"/>
          <w:color w:val="000000"/>
          <w:sz w:val="22"/>
          <w:szCs w:val="22"/>
        </w:rPr>
        <w:t xml:space="preserve"> (fig. 1)</w:t>
      </w:r>
      <w:r w:rsidRPr="0055676D">
        <w:rPr>
          <w:rFonts w:ascii="Verdana" w:hAnsi="Verdana" w:cs="Verdana"/>
          <w:color w:val="000000"/>
          <w:sz w:val="22"/>
          <w:szCs w:val="22"/>
        </w:rPr>
        <w:t>.</w:t>
      </w:r>
      <w:r>
        <w:rPr>
          <w:rFonts w:ascii="Verdana" w:hAnsi="Verdana" w:cs="Verdana"/>
          <w:color w:val="000000"/>
          <w:sz w:val="22"/>
          <w:szCs w:val="22"/>
        </w:rPr>
        <w:t xml:space="preserve"> Tra le cause dell’aumento il </w:t>
      </w:r>
      <w:r w:rsidRPr="0055676D">
        <w:rPr>
          <w:rFonts w:ascii="Verdana" w:hAnsi="Verdana" w:cs="Verdana"/>
          <w:color w:val="000000"/>
          <w:sz w:val="22"/>
          <w:szCs w:val="22"/>
        </w:rPr>
        <w:t xml:space="preserve">rialzo </w:t>
      </w:r>
      <w:r>
        <w:rPr>
          <w:rFonts w:ascii="Verdana" w:hAnsi="Verdana" w:cs="Verdana"/>
          <w:color w:val="000000"/>
          <w:sz w:val="22"/>
          <w:szCs w:val="22"/>
        </w:rPr>
        <w:t xml:space="preserve">del 6,7%, </w:t>
      </w:r>
      <w:r w:rsidRPr="0055676D">
        <w:rPr>
          <w:rFonts w:ascii="Verdana" w:hAnsi="Verdana" w:cs="Verdana"/>
          <w:color w:val="000000"/>
          <w:sz w:val="22"/>
          <w:szCs w:val="22"/>
        </w:rPr>
        <w:t>registrato nel terzo trimestre 2014</w:t>
      </w:r>
      <w:r>
        <w:rPr>
          <w:rFonts w:ascii="Verdana" w:hAnsi="Verdana" w:cs="Verdana"/>
          <w:color w:val="000000"/>
          <w:sz w:val="22"/>
          <w:szCs w:val="22"/>
        </w:rPr>
        <w:t xml:space="preserve"> rispetto al precedente, dei</w:t>
      </w:r>
      <w:r w:rsidRPr="0055676D">
        <w:rPr>
          <w:rFonts w:ascii="Verdana" w:hAnsi="Verdana" w:cs="Verdana"/>
          <w:color w:val="000000"/>
          <w:sz w:val="22"/>
          <w:szCs w:val="22"/>
        </w:rPr>
        <w:t xml:space="preserve"> prezzi all’ingrosso della materia prima energia misurati dall’Indice Prezzo Unico Nazional</w:t>
      </w:r>
      <w:r>
        <w:rPr>
          <w:rFonts w:ascii="Verdana" w:hAnsi="Verdana" w:cs="Verdana"/>
          <w:color w:val="000000"/>
          <w:sz w:val="22"/>
          <w:szCs w:val="22"/>
        </w:rPr>
        <w:t>e del Terziario (PUN Terziario)</w:t>
      </w:r>
      <w:r w:rsidRPr="0055676D">
        <w:rPr>
          <w:rFonts w:ascii="Verdana" w:hAnsi="Verdana" w:cs="Verdana"/>
          <w:color w:val="000000"/>
          <w:sz w:val="22"/>
          <w:szCs w:val="22"/>
        </w:rPr>
        <w:t>.</w:t>
      </w:r>
      <w:r>
        <w:rPr>
          <w:rFonts w:ascii="Verdana" w:hAnsi="Verdana" w:cs="Verdana"/>
          <w:color w:val="000000"/>
          <w:sz w:val="22"/>
          <w:szCs w:val="22"/>
        </w:rPr>
        <w:t xml:space="preserve"> Rialzo dovuto anche a causa</w:t>
      </w:r>
      <w:r w:rsidRPr="0055676D">
        <w:rPr>
          <w:rFonts w:ascii="Verdana" w:hAnsi="Verdana" w:cs="Verdana"/>
          <w:color w:val="000000"/>
          <w:sz w:val="22"/>
          <w:szCs w:val="22"/>
        </w:rPr>
        <w:t xml:space="preserve"> dell’impatto che la crisi Russia-Ucraina sta determinando </w:t>
      </w:r>
      <w:r>
        <w:rPr>
          <w:rFonts w:ascii="Verdana" w:hAnsi="Verdana" w:cs="Verdana"/>
          <w:color w:val="000000"/>
          <w:sz w:val="22"/>
          <w:szCs w:val="22"/>
        </w:rPr>
        <w:t>sulle centrali termoelettriche alimentate a gas e che</w:t>
      </w:r>
      <w:r w:rsidRPr="0055676D">
        <w:rPr>
          <w:rFonts w:ascii="Verdana" w:hAnsi="Verdana" w:cs="Verdana"/>
          <w:color w:val="000000"/>
          <w:sz w:val="22"/>
          <w:szCs w:val="22"/>
        </w:rPr>
        <w:t xml:space="preserve">, soprattutto in vista dell’inverno, </w:t>
      </w:r>
      <w:r>
        <w:rPr>
          <w:rFonts w:ascii="Verdana" w:hAnsi="Verdana" w:cs="Verdana"/>
          <w:color w:val="000000"/>
          <w:sz w:val="22"/>
          <w:szCs w:val="22"/>
        </w:rPr>
        <w:t>potrebbe portare ad ulteriori rincari</w:t>
      </w:r>
      <w:r w:rsidRPr="0055676D">
        <w:rPr>
          <w:rFonts w:ascii="Verdana" w:hAnsi="Verdana" w:cs="Verdana"/>
          <w:color w:val="000000"/>
          <w:sz w:val="22"/>
          <w:szCs w:val="22"/>
        </w:rPr>
        <w:t>.</w:t>
      </w:r>
    </w:p>
    <w:p w:rsidR="00D82490" w:rsidRPr="0059756E" w:rsidRDefault="00D82490" w:rsidP="00F11ECC">
      <w:pPr>
        <w:shd w:val="clear" w:color="auto" w:fill="FFFFFF"/>
        <w:jc w:val="both"/>
        <w:rPr>
          <w:rFonts w:ascii="Verdana" w:hAnsi="Verdana" w:cs="Verdana"/>
          <w:color w:val="000000"/>
          <w:sz w:val="20"/>
          <w:szCs w:val="20"/>
        </w:rPr>
      </w:pPr>
    </w:p>
    <w:p w:rsidR="00D82490" w:rsidRDefault="00D82490" w:rsidP="00F11ECC">
      <w:pPr>
        <w:shd w:val="clear" w:color="auto" w:fill="FFFFFF"/>
        <w:jc w:val="both"/>
        <w:rPr>
          <w:rFonts w:ascii="Verdana" w:hAnsi="Verdana" w:cs="Verdana"/>
          <w:b/>
          <w:bCs/>
          <w:color w:val="000000"/>
          <w:sz w:val="20"/>
          <w:szCs w:val="20"/>
        </w:rPr>
      </w:pPr>
      <w:r w:rsidRPr="00C30C18">
        <w:rPr>
          <w:rFonts w:ascii="Verdana" w:hAnsi="Verdana" w:cs="Verdana"/>
          <w:b/>
          <w:bCs/>
          <w:color w:val="000000"/>
          <w:sz w:val="20"/>
          <w:szCs w:val="20"/>
        </w:rPr>
        <w:t xml:space="preserve">Fig. 1 - </w:t>
      </w:r>
      <w:r w:rsidRPr="00C30C18">
        <w:rPr>
          <w:rFonts w:ascii="Verdana" w:hAnsi="Verdana" w:cs="Verdana"/>
          <w:b/>
          <w:bCs/>
          <w:sz w:val="20"/>
          <w:szCs w:val="20"/>
        </w:rPr>
        <w:t>Andamento dell’indice ICET Confcommercio e dell’indice PUN Terziario (PUN-MGP, ponderato per il profilo di consumo medio del settore Terziario)</w:t>
      </w:r>
      <w:r>
        <w:rPr>
          <w:rFonts w:ascii="Verdana" w:hAnsi="Verdana" w:cs="Verdana"/>
          <w:b/>
          <w:bCs/>
          <w:sz w:val="20"/>
          <w:szCs w:val="20"/>
        </w:rPr>
        <w:t>.</w:t>
      </w:r>
      <w:r w:rsidRPr="00C30C18">
        <w:rPr>
          <w:rFonts w:ascii="Verdana" w:hAnsi="Verdana" w:cs="Verdana"/>
          <w:b/>
          <w:bCs/>
          <w:sz w:val="20"/>
          <w:szCs w:val="20"/>
        </w:rPr>
        <w:t xml:space="preserve"> Indici I trim 2010=100</w:t>
      </w:r>
    </w:p>
    <w:p w:rsidR="00D82490" w:rsidRDefault="00D82490" w:rsidP="0055676D">
      <w:pPr>
        <w:rPr>
          <w:rFonts w:ascii="Verdana" w:hAnsi="Verdana" w:cs="Verdana"/>
          <w:sz w:val="20"/>
          <w:szCs w:val="20"/>
        </w:rPr>
      </w:pPr>
      <w:r w:rsidRPr="001E1629">
        <w:rPr>
          <w:noProof/>
        </w:rPr>
        <w:pict>
          <v:shape id="Immagine 2" o:spid="_x0000_i1025" type="#_x0000_t75" style="width:438pt;height:261.75pt;visibility:visible">
            <v:imagedata r:id="rId8" o:title=""/>
          </v:shape>
        </w:pict>
      </w:r>
    </w:p>
    <w:p w:rsidR="00D82490" w:rsidRPr="00366F39" w:rsidRDefault="00D82490" w:rsidP="0059756E">
      <w:pPr>
        <w:tabs>
          <w:tab w:val="left" w:pos="900"/>
        </w:tabs>
        <w:ind w:firstLine="284"/>
        <w:rPr>
          <w:rFonts w:ascii="Verdana" w:hAnsi="Verdana" w:cs="Verdana"/>
          <w:i/>
          <w:iCs/>
          <w:sz w:val="18"/>
          <w:szCs w:val="18"/>
        </w:rPr>
      </w:pPr>
      <w:r w:rsidRPr="00366F39">
        <w:rPr>
          <w:rFonts w:ascii="Verdana" w:hAnsi="Verdana" w:cs="Verdana"/>
          <w:i/>
          <w:iCs/>
          <w:sz w:val="18"/>
          <w:szCs w:val="18"/>
        </w:rPr>
        <w:t>Fonte: elaborazioni Confcommercio-REF Ricerche su dati AEEG e GME S.p.A.</w:t>
      </w:r>
    </w:p>
    <w:p w:rsidR="00D82490" w:rsidRDefault="00D82490" w:rsidP="00F11ECC">
      <w:pPr>
        <w:pStyle w:val="BodyText"/>
        <w:autoSpaceDE w:val="0"/>
        <w:autoSpaceDN w:val="0"/>
        <w:adjustRightInd w:val="0"/>
        <w:jc w:val="center"/>
        <w:rPr>
          <w:rFonts w:ascii="Verdana" w:hAnsi="Verdana" w:cs="Verdana"/>
          <w:b/>
          <w:bCs/>
          <w:sz w:val="20"/>
          <w:szCs w:val="20"/>
        </w:rPr>
      </w:pPr>
    </w:p>
    <w:p w:rsidR="00D82490" w:rsidRDefault="00D82490" w:rsidP="00F11ECC">
      <w:pPr>
        <w:pStyle w:val="BodyText"/>
        <w:autoSpaceDE w:val="0"/>
        <w:autoSpaceDN w:val="0"/>
        <w:adjustRightInd w:val="0"/>
        <w:jc w:val="center"/>
        <w:rPr>
          <w:rFonts w:ascii="Verdana" w:hAnsi="Verdana" w:cs="Verdana"/>
          <w:b/>
          <w:bCs/>
          <w:sz w:val="20"/>
          <w:szCs w:val="20"/>
        </w:rPr>
      </w:pPr>
    </w:p>
    <w:p w:rsidR="00D82490" w:rsidRDefault="00D82490" w:rsidP="005C6AB3">
      <w:pPr>
        <w:shd w:val="clear" w:color="auto" w:fill="FFFFFF"/>
        <w:jc w:val="both"/>
        <w:rPr>
          <w:rFonts w:ascii="Verdana" w:hAnsi="Verdana" w:cs="Verdana"/>
          <w:color w:val="000000"/>
          <w:sz w:val="22"/>
          <w:szCs w:val="22"/>
        </w:rPr>
      </w:pPr>
    </w:p>
    <w:p w:rsidR="00D82490" w:rsidRDefault="00D82490" w:rsidP="005C6AB3">
      <w:pPr>
        <w:shd w:val="clear" w:color="auto" w:fill="FFFFFF"/>
        <w:jc w:val="both"/>
        <w:rPr>
          <w:rFonts w:ascii="Verdana" w:hAnsi="Verdana" w:cs="Verdana"/>
          <w:color w:val="000000"/>
          <w:sz w:val="22"/>
          <w:szCs w:val="22"/>
        </w:rPr>
      </w:pPr>
      <w:r>
        <w:rPr>
          <w:rFonts w:ascii="Verdana" w:hAnsi="Verdana" w:cs="Verdana"/>
          <w:color w:val="000000"/>
          <w:sz w:val="22"/>
          <w:szCs w:val="22"/>
        </w:rPr>
        <w:t>C’è da segnalare, peraltro, che la norma taglia-bollette divenuta operativa ad agosto con l’entrata in vigore della legge che ha convertito il decreto competitività, di fatto, è rimasta ancora lettera morta con il rischio che questa operazione non esplicherà pienamente i suoi effetti neanche a fine anno.</w:t>
      </w:r>
    </w:p>
    <w:p w:rsidR="00D82490" w:rsidRDefault="00D82490" w:rsidP="005C6AB3">
      <w:pPr>
        <w:shd w:val="clear" w:color="auto" w:fill="FFFFFF"/>
        <w:jc w:val="both"/>
        <w:rPr>
          <w:rFonts w:ascii="Verdana" w:hAnsi="Verdana" w:cs="Verdana"/>
          <w:color w:val="000000"/>
          <w:sz w:val="22"/>
          <w:szCs w:val="22"/>
        </w:rPr>
      </w:pPr>
      <w:r>
        <w:rPr>
          <w:rFonts w:ascii="Verdana" w:hAnsi="Verdana" w:cs="Verdana"/>
          <w:color w:val="000000"/>
          <w:sz w:val="22"/>
          <w:szCs w:val="22"/>
        </w:rPr>
        <w:t>Ma l’elemento critico di maggiore preoccupazione è il continuo rialzo degli oneri di sistema: tali corrispettivi salgono del 2,7% rispetto al trimestre precedente per un complessivo +11,9% su base annuale. Tale ulteriore aumento porta l’incidenza del peso della fiscalità sul costo complessivo sostenuto al 53,6% di cui il 30,6% da imputare</w:t>
      </w:r>
      <w:r w:rsidRPr="00AB50CD">
        <w:rPr>
          <w:rFonts w:ascii="Verdana" w:hAnsi="Verdana" w:cs="Verdana"/>
          <w:color w:val="000000"/>
          <w:sz w:val="22"/>
          <w:szCs w:val="22"/>
        </w:rPr>
        <w:t xml:space="preserve"> agli oneri di sistema</w:t>
      </w:r>
      <w:r>
        <w:rPr>
          <w:rFonts w:ascii="Verdana" w:hAnsi="Verdana" w:cs="Verdana"/>
          <w:color w:val="000000"/>
          <w:sz w:val="22"/>
          <w:szCs w:val="22"/>
        </w:rPr>
        <w:t xml:space="preserve"> (fig. 2). </w:t>
      </w:r>
    </w:p>
    <w:p w:rsidR="00D82490" w:rsidRDefault="00D82490" w:rsidP="00F11ECC">
      <w:pPr>
        <w:shd w:val="clear" w:color="auto" w:fill="FFFFFF"/>
        <w:rPr>
          <w:rFonts w:ascii="Verdana" w:hAnsi="Verdana" w:cs="Verdana"/>
          <w:sz w:val="18"/>
          <w:szCs w:val="18"/>
        </w:rPr>
      </w:pPr>
    </w:p>
    <w:p w:rsidR="00D82490" w:rsidRPr="00795D62" w:rsidRDefault="00D82490" w:rsidP="00F11ECC">
      <w:pPr>
        <w:shd w:val="clear" w:color="auto" w:fill="FFFFFF"/>
        <w:rPr>
          <w:rFonts w:ascii="Verdana" w:hAnsi="Verdana" w:cs="Verdana"/>
          <w:sz w:val="18"/>
          <w:szCs w:val="18"/>
        </w:rPr>
      </w:pPr>
    </w:p>
    <w:p w:rsidR="00D82490" w:rsidRPr="00C30C18" w:rsidRDefault="00D82490" w:rsidP="00F11ECC">
      <w:pPr>
        <w:pStyle w:val="Caption"/>
        <w:jc w:val="both"/>
        <w:rPr>
          <w:b/>
          <w:bCs/>
          <w:i w:val="0"/>
          <w:iCs w:val="0"/>
          <w:sz w:val="20"/>
          <w:szCs w:val="20"/>
        </w:rPr>
      </w:pPr>
      <w:r w:rsidRPr="00C30C18">
        <w:rPr>
          <w:b/>
          <w:bCs/>
          <w:i w:val="0"/>
          <w:iCs w:val="0"/>
          <w:sz w:val="20"/>
          <w:szCs w:val="20"/>
        </w:rPr>
        <w:t>Figura 2 – Confronto composizione media percentuale delle voci di spesa per la fornitura di</w:t>
      </w:r>
      <w:r>
        <w:rPr>
          <w:b/>
          <w:bCs/>
          <w:i w:val="0"/>
          <w:iCs w:val="0"/>
          <w:sz w:val="20"/>
          <w:szCs w:val="20"/>
        </w:rPr>
        <w:t xml:space="preserve"> energia elettrica del settore t</w:t>
      </w:r>
      <w:r w:rsidRPr="00C30C18">
        <w:rPr>
          <w:b/>
          <w:bCs/>
          <w:i w:val="0"/>
          <w:iCs w:val="0"/>
          <w:sz w:val="20"/>
          <w:szCs w:val="20"/>
        </w:rPr>
        <w:t>erziario, regime di maggior tutela</w:t>
      </w:r>
      <w:r>
        <w:rPr>
          <w:b/>
          <w:bCs/>
          <w:i w:val="0"/>
          <w:iCs w:val="0"/>
          <w:sz w:val="20"/>
          <w:szCs w:val="20"/>
        </w:rPr>
        <w:t>.</w:t>
      </w:r>
    </w:p>
    <w:p w:rsidR="00D82490" w:rsidRDefault="00D82490" w:rsidP="00F11ECC">
      <w:pPr>
        <w:pStyle w:val="Caption"/>
        <w:jc w:val="both"/>
        <w:rPr>
          <w:b/>
          <w:bCs/>
          <w:i w:val="0"/>
          <w:iCs w:val="0"/>
          <w:sz w:val="20"/>
          <w:szCs w:val="20"/>
        </w:rPr>
      </w:pPr>
      <w:r w:rsidRPr="00C30C18">
        <w:rPr>
          <w:b/>
          <w:bCs/>
          <w:i w:val="0"/>
          <w:iCs w:val="0"/>
          <w:sz w:val="20"/>
          <w:szCs w:val="20"/>
        </w:rPr>
        <w:t>I</w:t>
      </w:r>
      <w:r>
        <w:rPr>
          <w:b/>
          <w:bCs/>
          <w:i w:val="0"/>
          <w:iCs w:val="0"/>
          <w:sz w:val="20"/>
          <w:szCs w:val="20"/>
        </w:rPr>
        <w:t>V</w:t>
      </w:r>
      <w:r w:rsidRPr="00C30C18">
        <w:rPr>
          <w:b/>
          <w:bCs/>
          <w:i w:val="0"/>
          <w:iCs w:val="0"/>
          <w:sz w:val="20"/>
          <w:szCs w:val="20"/>
        </w:rPr>
        <w:t xml:space="preserve"> trimestre 201</w:t>
      </w:r>
      <w:r>
        <w:rPr>
          <w:b/>
          <w:bCs/>
          <w:i w:val="0"/>
          <w:iCs w:val="0"/>
          <w:sz w:val="20"/>
          <w:szCs w:val="20"/>
        </w:rPr>
        <w:t>4</w:t>
      </w:r>
      <w:r w:rsidRPr="00C30C18">
        <w:rPr>
          <w:b/>
          <w:bCs/>
          <w:i w:val="0"/>
          <w:iCs w:val="0"/>
          <w:sz w:val="20"/>
          <w:szCs w:val="20"/>
        </w:rPr>
        <w:t xml:space="preserve"> </w:t>
      </w:r>
      <w:r>
        <w:rPr>
          <w:b/>
          <w:bCs/>
          <w:i w:val="0"/>
          <w:iCs w:val="0"/>
          <w:sz w:val="20"/>
          <w:szCs w:val="20"/>
        </w:rPr>
        <w:t>vs</w:t>
      </w:r>
      <w:r w:rsidRPr="00C30C18">
        <w:rPr>
          <w:b/>
          <w:bCs/>
          <w:i w:val="0"/>
          <w:iCs w:val="0"/>
          <w:sz w:val="20"/>
          <w:szCs w:val="20"/>
        </w:rPr>
        <w:t xml:space="preserve"> </w:t>
      </w:r>
      <w:r>
        <w:rPr>
          <w:b/>
          <w:bCs/>
          <w:i w:val="0"/>
          <w:iCs w:val="0"/>
          <w:sz w:val="20"/>
          <w:szCs w:val="20"/>
        </w:rPr>
        <w:t>IV</w:t>
      </w:r>
      <w:r w:rsidRPr="00C30C18">
        <w:rPr>
          <w:b/>
          <w:bCs/>
          <w:i w:val="0"/>
          <w:iCs w:val="0"/>
          <w:sz w:val="20"/>
          <w:szCs w:val="20"/>
        </w:rPr>
        <w:t xml:space="preserve"> trimestre 201</w:t>
      </w:r>
      <w:r>
        <w:rPr>
          <w:b/>
          <w:bCs/>
          <w:i w:val="0"/>
          <w:iCs w:val="0"/>
          <w:sz w:val="20"/>
          <w:szCs w:val="20"/>
        </w:rPr>
        <w:t>3</w:t>
      </w:r>
    </w:p>
    <w:p w:rsidR="00D82490" w:rsidRPr="00795D62" w:rsidRDefault="00D82490" w:rsidP="00795D62">
      <w:pPr>
        <w:rPr>
          <w:sz w:val="18"/>
          <w:szCs w:val="18"/>
        </w:rPr>
      </w:pPr>
    </w:p>
    <w:p w:rsidR="00D82490" w:rsidRDefault="00D82490" w:rsidP="00795D62">
      <w:pPr>
        <w:shd w:val="clear" w:color="auto" w:fill="FFFFFF"/>
        <w:rPr>
          <w:noProof/>
        </w:rPr>
      </w:pPr>
      <w:r w:rsidRPr="001E1629">
        <w:rPr>
          <w:noProof/>
        </w:rPr>
        <w:pict>
          <v:shape id="Immagine 5" o:spid="_x0000_i1026" type="#_x0000_t75" style="width:294pt;height:330pt;visibility:visible">
            <v:imagedata r:id="rId9" o:title=""/>
          </v:shape>
        </w:pict>
      </w:r>
    </w:p>
    <w:p w:rsidR="00D82490" w:rsidRPr="00366F39" w:rsidRDefault="00D82490" w:rsidP="00795D62">
      <w:pPr>
        <w:rPr>
          <w:rFonts w:ascii="Verdana" w:hAnsi="Verdana" w:cs="Verdana"/>
          <w:i/>
          <w:iCs/>
          <w:sz w:val="18"/>
          <w:szCs w:val="18"/>
        </w:rPr>
      </w:pPr>
      <w:r w:rsidRPr="00366F39">
        <w:rPr>
          <w:rFonts w:ascii="Verdana" w:hAnsi="Verdana" w:cs="Verdana"/>
          <w:i/>
          <w:iCs/>
          <w:sz w:val="18"/>
          <w:szCs w:val="18"/>
        </w:rPr>
        <w:t>Fonte: elaborazioni Confcommercio-REF Ricerche su dati AEEG</w:t>
      </w:r>
    </w:p>
    <w:p w:rsidR="00D82490" w:rsidRPr="00795D62" w:rsidRDefault="00D82490" w:rsidP="000838BA">
      <w:pPr>
        <w:pStyle w:val="Caption"/>
        <w:jc w:val="both"/>
        <w:rPr>
          <w:i w:val="0"/>
          <w:iCs w:val="0"/>
        </w:rPr>
      </w:pPr>
    </w:p>
    <w:p w:rsidR="00D82490" w:rsidRDefault="00D82490" w:rsidP="00F11ECC">
      <w:pPr>
        <w:shd w:val="clear" w:color="auto" w:fill="FFFFFF"/>
        <w:rPr>
          <w:rFonts w:ascii="Verdana" w:hAnsi="Verdana" w:cs="Verdana"/>
          <w:sz w:val="22"/>
          <w:szCs w:val="22"/>
        </w:rPr>
      </w:pPr>
    </w:p>
    <w:p w:rsidR="00D82490" w:rsidRPr="00366F39" w:rsidRDefault="00D82490" w:rsidP="00F11ECC">
      <w:pPr>
        <w:shd w:val="clear" w:color="auto" w:fill="FFFFFF"/>
        <w:rPr>
          <w:rFonts w:ascii="Verdana" w:hAnsi="Verdana" w:cs="Verdana"/>
          <w:sz w:val="22"/>
          <w:szCs w:val="22"/>
        </w:rPr>
      </w:pPr>
    </w:p>
    <w:p w:rsidR="00D82490" w:rsidRPr="005C6AB3" w:rsidRDefault="00D82490" w:rsidP="005C6AB3">
      <w:pPr>
        <w:pStyle w:val="Caption"/>
        <w:jc w:val="both"/>
        <w:rPr>
          <w:i w:val="0"/>
          <w:iCs w:val="0"/>
          <w:color w:val="000000"/>
          <w:sz w:val="22"/>
          <w:szCs w:val="22"/>
        </w:rPr>
      </w:pPr>
      <w:r w:rsidRPr="005C6AB3">
        <w:rPr>
          <w:i w:val="0"/>
          <w:iCs w:val="0"/>
          <w:color w:val="000000"/>
          <w:sz w:val="22"/>
          <w:szCs w:val="22"/>
        </w:rPr>
        <w:t>Con riferimento alle singole tipologie di attività economica (Tabella 1 e Tabella 2), la spesa annua per il profilo “Albergo” sale a 61</w:t>
      </w:r>
      <w:r>
        <w:rPr>
          <w:i w:val="0"/>
          <w:iCs w:val="0"/>
          <w:color w:val="000000"/>
          <w:sz w:val="22"/>
          <w:szCs w:val="22"/>
        </w:rPr>
        <w:t>.</w:t>
      </w:r>
      <w:r w:rsidRPr="005C6AB3">
        <w:rPr>
          <w:i w:val="0"/>
          <w:iCs w:val="0"/>
          <w:color w:val="000000"/>
          <w:sz w:val="22"/>
          <w:szCs w:val="22"/>
        </w:rPr>
        <w:t xml:space="preserve">270 euro, </w:t>
      </w:r>
      <w:r>
        <w:rPr>
          <w:i w:val="0"/>
          <w:iCs w:val="0"/>
          <w:color w:val="000000"/>
          <w:sz w:val="22"/>
          <w:szCs w:val="22"/>
        </w:rPr>
        <w:t>2.391</w:t>
      </w:r>
      <w:r w:rsidRPr="005C6AB3">
        <w:rPr>
          <w:i w:val="0"/>
          <w:iCs w:val="0"/>
          <w:color w:val="000000"/>
          <w:sz w:val="22"/>
          <w:szCs w:val="22"/>
        </w:rPr>
        <w:t xml:space="preserve"> euro</w:t>
      </w:r>
      <w:r>
        <w:rPr>
          <w:i w:val="0"/>
          <w:iCs w:val="0"/>
          <w:color w:val="000000"/>
          <w:sz w:val="22"/>
          <w:szCs w:val="22"/>
        </w:rPr>
        <w:t xml:space="preserve"> in più</w:t>
      </w:r>
      <w:r w:rsidRPr="005C6AB3">
        <w:rPr>
          <w:i w:val="0"/>
          <w:iCs w:val="0"/>
          <w:color w:val="000000"/>
          <w:sz w:val="22"/>
          <w:szCs w:val="22"/>
        </w:rPr>
        <w:t xml:space="preserve"> rispetto al </w:t>
      </w:r>
      <w:r>
        <w:rPr>
          <w:i w:val="0"/>
          <w:iCs w:val="0"/>
          <w:color w:val="000000"/>
          <w:sz w:val="22"/>
          <w:szCs w:val="22"/>
        </w:rPr>
        <w:t>terzo trimestre 2014</w:t>
      </w:r>
      <w:r w:rsidRPr="005C6AB3">
        <w:rPr>
          <w:i w:val="0"/>
          <w:iCs w:val="0"/>
          <w:color w:val="000000"/>
          <w:sz w:val="22"/>
          <w:szCs w:val="22"/>
        </w:rPr>
        <w:t>, quella per il profilo</w:t>
      </w:r>
      <w:r>
        <w:rPr>
          <w:i w:val="0"/>
          <w:iCs w:val="0"/>
          <w:color w:val="000000"/>
          <w:sz w:val="22"/>
          <w:szCs w:val="22"/>
        </w:rPr>
        <w:t xml:space="preserve"> “Ristorante” a 9.185 euro (+322</w:t>
      </w:r>
      <w:r w:rsidRPr="005C6AB3">
        <w:rPr>
          <w:i w:val="0"/>
          <w:iCs w:val="0"/>
          <w:color w:val="000000"/>
          <w:sz w:val="22"/>
          <w:szCs w:val="22"/>
        </w:rPr>
        <w:t xml:space="preserve"> euro), quella per il p</w:t>
      </w:r>
      <w:r>
        <w:rPr>
          <w:i w:val="0"/>
          <w:iCs w:val="0"/>
          <w:color w:val="000000"/>
          <w:sz w:val="22"/>
          <w:szCs w:val="22"/>
        </w:rPr>
        <w:t xml:space="preserve">rofilo “Bar” a 5.499 euro (+186 </w:t>
      </w:r>
      <w:r w:rsidRPr="005C6AB3">
        <w:rPr>
          <w:i w:val="0"/>
          <w:iCs w:val="0"/>
          <w:color w:val="000000"/>
          <w:sz w:val="22"/>
          <w:szCs w:val="22"/>
        </w:rPr>
        <w:t>euro), quella per il profilo “Dettaglio</w:t>
      </w:r>
      <w:r>
        <w:rPr>
          <w:i w:val="0"/>
          <w:iCs w:val="0"/>
          <w:color w:val="000000"/>
          <w:sz w:val="22"/>
          <w:szCs w:val="22"/>
        </w:rPr>
        <w:t xml:space="preserve"> alimentare” a 18.273 euro (+695</w:t>
      </w:r>
      <w:r w:rsidRPr="005C6AB3">
        <w:rPr>
          <w:i w:val="0"/>
          <w:iCs w:val="0"/>
          <w:color w:val="000000"/>
          <w:sz w:val="22"/>
          <w:szCs w:val="22"/>
        </w:rPr>
        <w:t xml:space="preserve"> euro), e infine quella del profilo “Dettaglio non alimentare” a 4</w:t>
      </w:r>
      <w:r>
        <w:rPr>
          <w:i w:val="0"/>
          <w:iCs w:val="0"/>
          <w:color w:val="000000"/>
          <w:sz w:val="22"/>
          <w:szCs w:val="22"/>
        </w:rPr>
        <w:t>.</w:t>
      </w:r>
      <w:r w:rsidRPr="005C6AB3">
        <w:rPr>
          <w:i w:val="0"/>
          <w:iCs w:val="0"/>
          <w:color w:val="000000"/>
          <w:sz w:val="22"/>
          <w:szCs w:val="22"/>
        </w:rPr>
        <w:t>721 euro (+1</w:t>
      </w:r>
      <w:r>
        <w:rPr>
          <w:i w:val="0"/>
          <w:iCs w:val="0"/>
          <w:color w:val="000000"/>
          <w:sz w:val="22"/>
          <w:szCs w:val="22"/>
        </w:rPr>
        <w:t>78</w:t>
      </w:r>
      <w:r w:rsidRPr="005C6AB3">
        <w:rPr>
          <w:i w:val="0"/>
          <w:iCs w:val="0"/>
          <w:color w:val="000000"/>
          <w:sz w:val="22"/>
          <w:szCs w:val="22"/>
        </w:rPr>
        <w:t xml:space="preserve"> euro).</w:t>
      </w:r>
    </w:p>
    <w:p w:rsidR="00D82490" w:rsidRDefault="00D82490">
      <w:pPr>
        <w:rPr>
          <w:rFonts w:ascii="Verdana" w:hAnsi="Verdana" w:cs="Verdana"/>
          <w:sz w:val="22"/>
          <w:szCs w:val="22"/>
        </w:rPr>
      </w:pPr>
      <w:r>
        <w:rPr>
          <w:rFonts w:ascii="Verdana" w:hAnsi="Verdana" w:cs="Verdana"/>
          <w:sz w:val="22"/>
          <w:szCs w:val="22"/>
        </w:rPr>
        <w:br w:type="page"/>
      </w:r>
    </w:p>
    <w:p w:rsidR="00D82490" w:rsidRDefault="00D82490" w:rsidP="00313C1D">
      <w:pPr>
        <w:jc w:val="both"/>
        <w:rPr>
          <w:rFonts w:ascii="Verdana" w:hAnsi="Verdana" w:cs="Verdana"/>
          <w:sz w:val="22"/>
          <w:szCs w:val="22"/>
        </w:rPr>
      </w:pPr>
    </w:p>
    <w:p w:rsidR="00D82490" w:rsidRPr="00366F39" w:rsidRDefault="00D82490" w:rsidP="00313C1D">
      <w:pPr>
        <w:jc w:val="both"/>
        <w:rPr>
          <w:rFonts w:ascii="Verdana" w:hAnsi="Verdana" w:cs="Verdana"/>
          <w:sz w:val="22"/>
          <w:szCs w:val="22"/>
        </w:rPr>
      </w:pPr>
    </w:p>
    <w:p w:rsidR="00D82490" w:rsidRPr="00C05FC6" w:rsidRDefault="00D82490" w:rsidP="00F11ECC">
      <w:pPr>
        <w:pStyle w:val="Caption"/>
        <w:rPr>
          <w:b/>
          <w:bCs/>
          <w:i w:val="0"/>
          <w:iCs w:val="0"/>
          <w:sz w:val="20"/>
          <w:szCs w:val="20"/>
        </w:rPr>
      </w:pPr>
      <w:r w:rsidRPr="004759F3">
        <w:rPr>
          <w:b/>
          <w:bCs/>
          <w:i w:val="0"/>
          <w:iCs w:val="0"/>
          <w:sz w:val="20"/>
          <w:szCs w:val="20"/>
        </w:rPr>
        <w:t>TAB. 1</w:t>
      </w:r>
      <w:r w:rsidRPr="00C05FC6">
        <w:rPr>
          <w:b/>
          <w:bCs/>
          <w:i w:val="0"/>
          <w:iCs w:val="0"/>
          <w:sz w:val="20"/>
          <w:szCs w:val="20"/>
        </w:rPr>
        <w:t xml:space="preserve"> - Spesa annua per la fornitura di energia elettrica del settore terziario, regime di maggior </w:t>
      </w:r>
      <w:r>
        <w:rPr>
          <w:b/>
          <w:bCs/>
          <w:i w:val="0"/>
          <w:iCs w:val="0"/>
          <w:sz w:val="20"/>
          <w:szCs w:val="20"/>
        </w:rPr>
        <w:t>tutela, IV</w:t>
      </w:r>
      <w:r w:rsidRPr="00C05FC6">
        <w:rPr>
          <w:b/>
          <w:bCs/>
          <w:i w:val="0"/>
          <w:iCs w:val="0"/>
          <w:sz w:val="20"/>
          <w:szCs w:val="20"/>
        </w:rPr>
        <w:t xml:space="preserve"> trimestre 201</w:t>
      </w:r>
      <w:r>
        <w:rPr>
          <w:b/>
          <w:bCs/>
          <w:i w:val="0"/>
          <w:iCs w:val="0"/>
          <w:sz w:val="20"/>
          <w:szCs w:val="20"/>
        </w:rPr>
        <w:t>4</w:t>
      </w:r>
      <w:r w:rsidRPr="00C05FC6">
        <w:rPr>
          <w:b/>
          <w:bCs/>
          <w:i w:val="0"/>
          <w:iCs w:val="0"/>
          <w:sz w:val="20"/>
          <w:szCs w:val="20"/>
        </w:rPr>
        <w:t xml:space="preserve"> - euro/anno</w:t>
      </w:r>
    </w:p>
    <w:tbl>
      <w:tblPr>
        <w:tblW w:w="7660" w:type="dxa"/>
        <w:tblInd w:w="-68" w:type="dxa"/>
        <w:tblCellMar>
          <w:left w:w="70" w:type="dxa"/>
          <w:right w:w="70" w:type="dxa"/>
        </w:tblCellMar>
        <w:tblLook w:val="00A0"/>
      </w:tblPr>
      <w:tblGrid>
        <w:gridCol w:w="1843"/>
        <w:gridCol w:w="1013"/>
        <w:gridCol w:w="1312"/>
        <w:gridCol w:w="782"/>
        <w:gridCol w:w="1355"/>
        <w:gridCol w:w="1355"/>
      </w:tblGrid>
      <w:tr w:rsidR="00D82490" w:rsidRPr="00F11ECC">
        <w:trPr>
          <w:trHeight w:val="454"/>
        </w:trPr>
        <w:tc>
          <w:tcPr>
            <w:tcW w:w="1843" w:type="dxa"/>
            <w:tcBorders>
              <w:top w:val="single" w:sz="4" w:space="0" w:color="auto"/>
              <w:left w:val="single" w:sz="4" w:space="0" w:color="auto"/>
              <w:bottom w:val="single" w:sz="4" w:space="0" w:color="auto"/>
              <w:right w:val="nil"/>
            </w:tcBorders>
            <w:noWrap/>
            <w:vAlign w:val="bottom"/>
          </w:tcPr>
          <w:p w:rsidR="00D82490" w:rsidRPr="004759F3" w:rsidRDefault="00D82490" w:rsidP="006130B2">
            <w:pPr>
              <w:rPr>
                <w:rFonts w:ascii="Verdana" w:hAnsi="Verdana" w:cs="Verdana"/>
                <w:sz w:val="20"/>
                <w:szCs w:val="20"/>
              </w:rPr>
            </w:pPr>
          </w:p>
        </w:tc>
        <w:tc>
          <w:tcPr>
            <w:tcW w:w="1013" w:type="dxa"/>
            <w:tcBorders>
              <w:top w:val="single" w:sz="4" w:space="0" w:color="auto"/>
              <w:left w:val="single" w:sz="4" w:space="0" w:color="auto"/>
              <w:bottom w:val="single" w:sz="4" w:space="0" w:color="auto"/>
              <w:right w:val="single" w:sz="4" w:space="0" w:color="auto"/>
            </w:tcBorders>
            <w:vAlign w:val="center"/>
          </w:tcPr>
          <w:p w:rsidR="00D82490" w:rsidRPr="004759F3" w:rsidRDefault="00D82490" w:rsidP="006130B2">
            <w:pPr>
              <w:jc w:val="center"/>
              <w:rPr>
                <w:rFonts w:ascii="Verdana" w:hAnsi="Verdana" w:cs="Verdana"/>
                <w:b/>
                <w:bCs/>
                <w:sz w:val="20"/>
                <w:szCs w:val="20"/>
              </w:rPr>
            </w:pPr>
            <w:r w:rsidRPr="004759F3">
              <w:rPr>
                <w:rFonts w:ascii="Verdana" w:hAnsi="Verdana" w:cs="Verdana"/>
                <w:b/>
                <w:bCs/>
                <w:sz w:val="20"/>
                <w:szCs w:val="20"/>
              </w:rPr>
              <w:t>Albergo</w:t>
            </w:r>
          </w:p>
        </w:tc>
        <w:tc>
          <w:tcPr>
            <w:tcW w:w="1312" w:type="dxa"/>
            <w:tcBorders>
              <w:top w:val="single" w:sz="4" w:space="0" w:color="auto"/>
              <w:left w:val="nil"/>
              <w:bottom w:val="single" w:sz="4" w:space="0" w:color="auto"/>
              <w:right w:val="single" w:sz="4" w:space="0" w:color="auto"/>
            </w:tcBorders>
            <w:vAlign w:val="center"/>
          </w:tcPr>
          <w:p w:rsidR="00D82490" w:rsidRPr="004759F3" w:rsidRDefault="00D82490" w:rsidP="006130B2">
            <w:pPr>
              <w:jc w:val="center"/>
              <w:rPr>
                <w:rFonts w:ascii="Verdana" w:hAnsi="Verdana" w:cs="Verdana"/>
                <w:b/>
                <w:bCs/>
                <w:sz w:val="20"/>
                <w:szCs w:val="20"/>
              </w:rPr>
            </w:pPr>
            <w:r w:rsidRPr="004759F3">
              <w:rPr>
                <w:rFonts w:ascii="Verdana" w:hAnsi="Verdana" w:cs="Verdana"/>
                <w:b/>
                <w:bCs/>
                <w:sz w:val="20"/>
                <w:szCs w:val="20"/>
              </w:rPr>
              <w:t>Ristorante</w:t>
            </w:r>
          </w:p>
        </w:tc>
        <w:tc>
          <w:tcPr>
            <w:tcW w:w="782" w:type="dxa"/>
            <w:tcBorders>
              <w:top w:val="single" w:sz="4" w:space="0" w:color="auto"/>
              <w:left w:val="nil"/>
              <w:bottom w:val="single" w:sz="4" w:space="0" w:color="auto"/>
              <w:right w:val="single" w:sz="4" w:space="0" w:color="auto"/>
            </w:tcBorders>
            <w:vAlign w:val="center"/>
          </w:tcPr>
          <w:p w:rsidR="00D82490" w:rsidRPr="004759F3" w:rsidRDefault="00D82490" w:rsidP="006130B2">
            <w:pPr>
              <w:jc w:val="center"/>
              <w:rPr>
                <w:rFonts w:ascii="Verdana" w:hAnsi="Verdana" w:cs="Verdana"/>
                <w:b/>
                <w:bCs/>
                <w:sz w:val="20"/>
                <w:szCs w:val="20"/>
              </w:rPr>
            </w:pPr>
            <w:r w:rsidRPr="004759F3">
              <w:rPr>
                <w:rFonts w:ascii="Verdana" w:hAnsi="Verdana" w:cs="Verdana"/>
                <w:b/>
                <w:bCs/>
                <w:sz w:val="20"/>
                <w:szCs w:val="20"/>
              </w:rPr>
              <w:t>Bar</w:t>
            </w:r>
          </w:p>
        </w:tc>
        <w:tc>
          <w:tcPr>
            <w:tcW w:w="1355" w:type="dxa"/>
            <w:tcBorders>
              <w:top w:val="single" w:sz="4" w:space="0" w:color="auto"/>
              <w:left w:val="nil"/>
              <w:bottom w:val="single" w:sz="4" w:space="0" w:color="auto"/>
              <w:right w:val="single" w:sz="4" w:space="0" w:color="auto"/>
            </w:tcBorders>
            <w:vAlign w:val="center"/>
          </w:tcPr>
          <w:p w:rsidR="00D82490" w:rsidRPr="004759F3" w:rsidRDefault="00D82490" w:rsidP="006130B2">
            <w:pPr>
              <w:jc w:val="center"/>
              <w:rPr>
                <w:rFonts w:ascii="Verdana" w:hAnsi="Verdana" w:cs="Verdana"/>
                <w:b/>
                <w:bCs/>
                <w:sz w:val="20"/>
                <w:szCs w:val="20"/>
              </w:rPr>
            </w:pPr>
            <w:r w:rsidRPr="004759F3">
              <w:rPr>
                <w:rFonts w:ascii="Verdana" w:hAnsi="Verdana" w:cs="Verdana"/>
                <w:b/>
                <w:bCs/>
                <w:sz w:val="20"/>
                <w:szCs w:val="20"/>
              </w:rPr>
              <w:t>Dettaglio alimentare</w:t>
            </w:r>
          </w:p>
        </w:tc>
        <w:tc>
          <w:tcPr>
            <w:tcW w:w="1355" w:type="dxa"/>
            <w:tcBorders>
              <w:top w:val="single" w:sz="4" w:space="0" w:color="auto"/>
              <w:left w:val="nil"/>
              <w:bottom w:val="single" w:sz="4" w:space="0" w:color="auto"/>
              <w:right w:val="single" w:sz="4" w:space="0" w:color="auto"/>
            </w:tcBorders>
            <w:vAlign w:val="center"/>
          </w:tcPr>
          <w:p w:rsidR="00D82490" w:rsidRPr="004759F3" w:rsidRDefault="00D82490" w:rsidP="006130B2">
            <w:pPr>
              <w:jc w:val="center"/>
              <w:rPr>
                <w:rFonts w:ascii="Verdana" w:hAnsi="Verdana" w:cs="Verdana"/>
                <w:b/>
                <w:bCs/>
                <w:sz w:val="20"/>
                <w:szCs w:val="20"/>
              </w:rPr>
            </w:pPr>
            <w:r w:rsidRPr="004759F3">
              <w:rPr>
                <w:rFonts w:ascii="Verdana" w:hAnsi="Verdana" w:cs="Verdana"/>
                <w:b/>
                <w:bCs/>
                <w:sz w:val="20"/>
                <w:szCs w:val="20"/>
              </w:rPr>
              <w:t>Dettaglio non alimentare</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6130B2">
            <w:pPr>
              <w:rPr>
                <w:rFonts w:ascii="Verdana" w:hAnsi="Verdana" w:cs="Verdana"/>
                <w:sz w:val="20"/>
                <w:szCs w:val="20"/>
              </w:rPr>
            </w:pPr>
            <w:r>
              <w:rPr>
                <w:rFonts w:ascii="Verdana" w:hAnsi="Verdana" w:cs="Verdana"/>
                <w:sz w:val="20"/>
                <w:szCs w:val="20"/>
              </w:rPr>
              <w:t>Energia</w:t>
            </w:r>
          </w:p>
        </w:tc>
        <w:tc>
          <w:tcPr>
            <w:tcW w:w="1013"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19.367</w:t>
            </w:r>
          </w:p>
        </w:tc>
        <w:tc>
          <w:tcPr>
            <w:tcW w:w="131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2.660</w:t>
            </w:r>
          </w:p>
        </w:tc>
        <w:tc>
          <w:tcPr>
            <w:tcW w:w="78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1.563</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5.670</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1.440</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6130B2">
            <w:pPr>
              <w:rPr>
                <w:rFonts w:ascii="Verdana" w:hAnsi="Verdana" w:cs="Verdana"/>
                <w:sz w:val="20"/>
                <w:szCs w:val="20"/>
              </w:rPr>
            </w:pPr>
            <w:r w:rsidRPr="004759F3">
              <w:rPr>
                <w:rFonts w:ascii="Verdana" w:hAnsi="Verdana" w:cs="Verdana"/>
                <w:sz w:val="20"/>
                <w:szCs w:val="20"/>
              </w:rPr>
              <w:t>Dispacciamento</w:t>
            </w:r>
          </w:p>
        </w:tc>
        <w:tc>
          <w:tcPr>
            <w:tcW w:w="1013"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3.755</w:t>
            </w:r>
          </w:p>
        </w:tc>
        <w:tc>
          <w:tcPr>
            <w:tcW w:w="131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505</w:t>
            </w:r>
          </w:p>
        </w:tc>
        <w:tc>
          <w:tcPr>
            <w:tcW w:w="78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288</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1.083</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259</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6130B2">
            <w:pPr>
              <w:rPr>
                <w:rFonts w:ascii="Verdana" w:hAnsi="Verdana" w:cs="Verdana"/>
                <w:sz w:val="20"/>
                <w:szCs w:val="20"/>
              </w:rPr>
            </w:pPr>
            <w:r w:rsidRPr="004759F3">
              <w:rPr>
                <w:rFonts w:ascii="Verdana" w:hAnsi="Verdana" w:cs="Verdana"/>
                <w:sz w:val="20"/>
                <w:szCs w:val="20"/>
              </w:rPr>
              <w:t>Infrastrutture</w:t>
            </w:r>
          </w:p>
        </w:tc>
        <w:tc>
          <w:tcPr>
            <w:tcW w:w="1013"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4.703</w:t>
            </w:r>
          </w:p>
        </w:tc>
        <w:tc>
          <w:tcPr>
            <w:tcW w:w="131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1.225</w:t>
            </w:r>
          </w:p>
        </w:tc>
        <w:tc>
          <w:tcPr>
            <w:tcW w:w="78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802</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1.663</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487</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6964E3">
            <w:pPr>
              <w:rPr>
                <w:rFonts w:ascii="Verdana" w:hAnsi="Verdana" w:cs="Verdana"/>
                <w:sz w:val="20"/>
                <w:szCs w:val="20"/>
              </w:rPr>
            </w:pPr>
            <w:r w:rsidRPr="004759F3">
              <w:rPr>
                <w:rFonts w:ascii="Verdana" w:hAnsi="Verdana" w:cs="Verdana"/>
                <w:sz w:val="20"/>
                <w:szCs w:val="20"/>
              </w:rPr>
              <w:t xml:space="preserve">Oneri </w:t>
            </w:r>
          </w:p>
        </w:tc>
        <w:tc>
          <w:tcPr>
            <w:tcW w:w="1013"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19.147</w:t>
            </w:r>
          </w:p>
        </w:tc>
        <w:tc>
          <w:tcPr>
            <w:tcW w:w="131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2.701</w:t>
            </w:r>
          </w:p>
        </w:tc>
        <w:tc>
          <w:tcPr>
            <w:tcW w:w="78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1.605</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5.625</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1.458</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6130B2">
            <w:pPr>
              <w:rPr>
                <w:rFonts w:ascii="Verdana" w:hAnsi="Verdana" w:cs="Verdana"/>
                <w:sz w:val="20"/>
                <w:szCs w:val="20"/>
              </w:rPr>
            </w:pPr>
            <w:r w:rsidRPr="004759F3">
              <w:rPr>
                <w:rFonts w:ascii="Verdana" w:hAnsi="Verdana" w:cs="Verdana"/>
                <w:sz w:val="20"/>
                <w:szCs w:val="20"/>
              </w:rPr>
              <w:t>Imposte</w:t>
            </w:r>
          </w:p>
        </w:tc>
        <w:tc>
          <w:tcPr>
            <w:tcW w:w="1013"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3.250</w:t>
            </w:r>
          </w:p>
        </w:tc>
        <w:tc>
          <w:tcPr>
            <w:tcW w:w="131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438</w:t>
            </w:r>
          </w:p>
        </w:tc>
        <w:tc>
          <w:tcPr>
            <w:tcW w:w="78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250</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938</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225</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6130B2">
            <w:pPr>
              <w:rPr>
                <w:rFonts w:ascii="Verdana" w:hAnsi="Verdana" w:cs="Verdana"/>
                <w:sz w:val="20"/>
                <w:szCs w:val="20"/>
              </w:rPr>
            </w:pPr>
            <w:r w:rsidRPr="004759F3">
              <w:rPr>
                <w:rFonts w:ascii="Verdana" w:hAnsi="Verdana" w:cs="Verdana"/>
                <w:sz w:val="20"/>
                <w:szCs w:val="20"/>
              </w:rPr>
              <w:t>IVA</w:t>
            </w:r>
          </w:p>
        </w:tc>
        <w:tc>
          <w:tcPr>
            <w:tcW w:w="1013"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11.049</w:t>
            </w:r>
          </w:p>
        </w:tc>
        <w:tc>
          <w:tcPr>
            <w:tcW w:w="131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1.656</w:t>
            </w:r>
          </w:p>
        </w:tc>
        <w:tc>
          <w:tcPr>
            <w:tcW w:w="782"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992</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3.295</w:t>
            </w:r>
          </w:p>
        </w:tc>
        <w:tc>
          <w:tcPr>
            <w:tcW w:w="1355" w:type="dxa"/>
            <w:tcBorders>
              <w:top w:val="single" w:sz="4" w:space="0" w:color="auto"/>
              <w:left w:val="nil"/>
              <w:bottom w:val="single" w:sz="4" w:space="0" w:color="auto"/>
              <w:right w:val="single" w:sz="4" w:space="0" w:color="auto"/>
            </w:tcBorders>
            <w:noWrap/>
            <w:vAlign w:val="center"/>
          </w:tcPr>
          <w:p w:rsidR="00D82490" w:rsidRDefault="00D82490" w:rsidP="00532A37">
            <w:pPr>
              <w:jc w:val="center"/>
              <w:rPr>
                <w:rFonts w:ascii="Calibri" w:hAnsi="Calibri" w:cs="Calibri"/>
                <w:color w:val="000000"/>
                <w:sz w:val="22"/>
                <w:szCs w:val="22"/>
              </w:rPr>
            </w:pPr>
            <w:r>
              <w:rPr>
                <w:rFonts w:ascii="Calibri" w:hAnsi="Calibri" w:cs="Calibri"/>
                <w:color w:val="000000"/>
                <w:sz w:val="22"/>
                <w:szCs w:val="22"/>
              </w:rPr>
              <w:t>851</w:t>
            </w:r>
          </w:p>
        </w:tc>
      </w:tr>
      <w:tr w:rsidR="00D82490" w:rsidRPr="00F11ECC">
        <w:trPr>
          <w:trHeight w:val="454"/>
        </w:trPr>
        <w:tc>
          <w:tcPr>
            <w:tcW w:w="1843" w:type="dxa"/>
            <w:tcBorders>
              <w:top w:val="nil"/>
              <w:left w:val="single" w:sz="4" w:space="0" w:color="auto"/>
              <w:bottom w:val="single" w:sz="4" w:space="0" w:color="auto"/>
              <w:right w:val="single" w:sz="4" w:space="0" w:color="auto"/>
            </w:tcBorders>
            <w:noWrap/>
            <w:vAlign w:val="bottom"/>
          </w:tcPr>
          <w:p w:rsidR="00D82490" w:rsidRPr="004759F3" w:rsidRDefault="00D82490" w:rsidP="006130B2">
            <w:pPr>
              <w:rPr>
                <w:rFonts w:ascii="Verdana" w:hAnsi="Verdana" w:cs="Verdana"/>
                <w:b/>
                <w:bCs/>
                <w:sz w:val="20"/>
                <w:szCs w:val="20"/>
              </w:rPr>
            </w:pPr>
            <w:r w:rsidRPr="004759F3">
              <w:rPr>
                <w:rFonts w:ascii="Verdana" w:hAnsi="Verdana" w:cs="Verdana"/>
                <w:b/>
                <w:bCs/>
                <w:sz w:val="20"/>
                <w:szCs w:val="20"/>
              </w:rPr>
              <w:t>Totale</w:t>
            </w:r>
          </w:p>
        </w:tc>
        <w:tc>
          <w:tcPr>
            <w:tcW w:w="1013" w:type="dxa"/>
            <w:tcBorders>
              <w:top w:val="nil"/>
              <w:left w:val="nil"/>
              <w:bottom w:val="single" w:sz="4" w:space="0" w:color="auto"/>
              <w:right w:val="single" w:sz="4" w:space="0" w:color="auto"/>
            </w:tcBorders>
            <w:noWrap/>
            <w:vAlign w:val="center"/>
          </w:tcPr>
          <w:p w:rsidR="00D82490" w:rsidRDefault="00D82490" w:rsidP="00532A37">
            <w:pPr>
              <w:jc w:val="center"/>
              <w:rPr>
                <w:rFonts w:ascii="Calibri" w:hAnsi="Calibri" w:cs="Calibri"/>
                <w:b/>
                <w:bCs/>
                <w:color w:val="000000"/>
                <w:sz w:val="22"/>
                <w:szCs w:val="22"/>
              </w:rPr>
            </w:pPr>
            <w:r>
              <w:rPr>
                <w:rFonts w:ascii="Calibri" w:hAnsi="Calibri" w:cs="Calibri"/>
                <w:b/>
                <w:bCs/>
                <w:color w:val="000000"/>
                <w:sz w:val="22"/>
                <w:szCs w:val="22"/>
              </w:rPr>
              <w:t>61.270</w:t>
            </w:r>
          </w:p>
        </w:tc>
        <w:tc>
          <w:tcPr>
            <w:tcW w:w="1312" w:type="dxa"/>
            <w:tcBorders>
              <w:top w:val="nil"/>
              <w:left w:val="nil"/>
              <w:bottom w:val="single" w:sz="4" w:space="0" w:color="auto"/>
              <w:right w:val="single" w:sz="4" w:space="0" w:color="auto"/>
            </w:tcBorders>
            <w:noWrap/>
            <w:vAlign w:val="center"/>
          </w:tcPr>
          <w:p w:rsidR="00D82490" w:rsidRDefault="00D82490" w:rsidP="00532A37">
            <w:pPr>
              <w:jc w:val="center"/>
              <w:rPr>
                <w:rFonts w:ascii="Calibri" w:hAnsi="Calibri" w:cs="Calibri"/>
                <w:b/>
                <w:bCs/>
                <w:color w:val="000000"/>
                <w:sz w:val="22"/>
                <w:szCs w:val="22"/>
              </w:rPr>
            </w:pPr>
            <w:r>
              <w:rPr>
                <w:rFonts w:ascii="Calibri" w:hAnsi="Calibri" w:cs="Calibri"/>
                <w:b/>
                <w:bCs/>
                <w:color w:val="000000"/>
                <w:sz w:val="22"/>
                <w:szCs w:val="22"/>
              </w:rPr>
              <w:t>9.185</w:t>
            </w:r>
          </w:p>
        </w:tc>
        <w:tc>
          <w:tcPr>
            <w:tcW w:w="782" w:type="dxa"/>
            <w:tcBorders>
              <w:top w:val="nil"/>
              <w:left w:val="nil"/>
              <w:bottom w:val="single" w:sz="4" w:space="0" w:color="auto"/>
              <w:right w:val="single" w:sz="4" w:space="0" w:color="auto"/>
            </w:tcBorders>
            <w:noWrap/>
            <w:vAlign w:val="center"/>
          </w:tcPr>
          <w:p w:rsidR="00D82490" w:rsidRDefault="00D82490" w:rsidP="00532A37">
            <w:pPr>
              <w:jc w:val="center"/>
              <w:rPr>
                <w:rFonts w:ascii="Calibri" w:hAnsi="Calibri" w:cs="Calibri"/>
                <w:b/>
                <w:bCs/>
                <w:color w:val="000000"/>
                <w:sz w:val="22"/>
                <w:szCs w:val="22"/>
              </w:rPr>
            </w:pPr>
            <w:r>
              <w:rPr>
                <w:rFonts w:ascii="Calibri" w:hAnsi="Calibri" w:cs="Calibri"/>
                <w:b/>
                <w:bCs/>
                <w:color w:val="000000"/>
                <w:sz w:val="22"/>
                <w:szCs w:val="22"/>
              </w:rPr>
              <w:t>5.499</w:t>
            </w:r>
          </w:p>
        </w:tc>
        <w:tc>
          <w:tcPr>
            <w:tcW w:w="1355" w:type="dxa"/>
            <w:tcBorders>
              <w:top w:val="nil"/>
              <w:left w:val="nil"/>
              <w:bottom w:val="single" w:sz="4" w:space="0" w:color="auto"/>
              <w:right w:val="single" w:sz="4" w:space="0" w:color="auto"/>
            </w:tcBorders>
            <w:noWrap/>
            <w:vAlign w:val="center"/>
          </w:tcPr>
          <w:p w:rsidR="00D82490" w:rsidRDefault="00D82490" w:rsidP="00532A37">
            <w:pPr>
              <w:jc w:val="center"/>
              <w:rPr>
                <w:rFonts w:ascii="Calibri" w:hAnsi="Calibri" w:cs="Calibri"/>
                <w:b/>
                <w:bCs/>
                <w:color w:val="000000"/>
                <w:sz w:val="22"/>
                <w:szCs w:val="22"/>
              </w:rPr>
            </w:pPr>
            <w:r>
              <w:rPr>
                <w:rFonts w:ascii="Calibri" w:hAnsi="Calibri" w:cs="Calibri"/>
                <w:b/>
                <w:bCs/>
                <w:color w:val="000000"/>
                <w:sz w:val="22"/>
                <w:szCs w:val="22"/>
              </w:rPr>
              <w:t>18.273</w:t>
            </w:r>
          </w:p>
        </w:tc>
        <w:tc>
          <w:tcPr>
            <w:tcW w:w="1355" w:type="dxa"/>
            <w:tcBorders>
              <w:top w:val="nil"/>
              <w:left w:val="nil"/>
              <w:bottom w:val="single" w:sz="4" w:space="0" w:color="auto"/>
              <w:right w:val="single" w:sz="4" w:space="0" w:color="auto"/>
            </w:tcBorders>
            <w:noWrap/>
            <w:vAlign w:val="center"/>
          </w:tcPr>
          <w:p w:rsidR="00D82490" w:rsidRDefault="00D82490" w:rsidP="00532A37">
            <w:pPr>
              <w:jc w:val="center"/>
              <w:rPr>
                <w:rFonts w:ascii="Calibri" w:hAnsi="Calibri" w:cs="Calibri"/>
                <w:b/>
                <w:bCs/>
                <w:color w:val="000000"/>
                <w:sz w:val="22"/>
                <w:szCs w:val="22"/>
              </w:rPr>
            </w:pPr>
            <w:r>
              <w:rPr>
                <w:rFonts w:ascii="Calibri" w:hAnsi="Calibri" w:cs="Calibri"/>
                <w:b/>
                <w:bCs/>
                <w:color w:val="000000"/>
                <w:sz w:val="22"/>
                <w:szCs w:val="22"/>
              </w:rPr>
              <w:t>4.721</w:t>
            </w:r>
          </w:p>
        </w:tc>
      </w:tr>
    </w:tbl>
    <w:p w:rsidR="00D82490" w:rsidRPr="00366F39" w:rsidRDefault="00D82490" w:rsidP="00366F39">
      <w:pPr>
        <w:rPr>
          <w:rFonts w:ascii="Verdana" w:hAnsi="Verdana" w:cs="Verdana"/>
          <w:i/>
          <w:iCs/>
          <w:sz w:val="18"/>
          <w:szCs w:val="18"/>
        </w:rPr>
      </w:pPr>
      <w:r w:rsidRPr="00366F39">
        <w:rPr>
          <w:rFonts w:ascii="Verdana" w:hAnsi="Verdana" w:cs="Verdana"/>
          <w:i/>
          <w:iCs/>
          <w:sz w:val="18"/>
          <w:szCs w:val="18"/>
        </w:rPr>
        <w:t>Fonte: elaborazioni Confcommercio-REF Ricerche su dati AEEG</w:t>
      </w:r>
    </w:p>
    <w:p w:rsidR="00D82490" w:rsidRPr="00F11ECC" w:rsidRDefault="00D82490" w:rsidP="00F11ECC">
      <w:pPr>
        <w:tabs>
          <w:tab w:val="left" w:pos="1913"/>
          <w:tab w:val="left" w:pos="2880"/>
          <w:tab w:val="left" w:pos="4082"/>
          <w:tab w:val="left" w:pos="4834"/>
          <w:tab w:val="left" w:pos="6024"/>
        </w:tabs>
        <w:ind w:left="70"/>
        <w:rPr>
          <w:rFonts w:ascii="Calibri" w:hAnsi="Calibri" w:cs="Calibri"/>
          <w:sz w:val="22"/>
          <w:szCs w:val="22"/>
        </w:rPr>
      </w:pPr>
    </w:p>
    <w:p w:rsidR="00D82490" w:rsidRDefault="00D82490" w:rsidP="00F11ECC">
      <w:pPr>
        <w:tabs>
          <w:tab w:val="left" w:pos="1913"/>
          <w:tab w:val="left" w:pos="2880"/>
          <w:tab w:val="left" w:pos="4082"/>
          <w:tab w:val="left" w:pos="4834"/>
          <w:tab w:val="left" w:pos="6024"/>
        </w:tabs>
        <w:ind w:left="70"/>
        <w:rPr>
          <w:rFonts w:ascii="Calibri" w:hAnsi="Calibri" w:cs="Calibri"/>
          <w:sz w:val="22"/>
          <w:szCs w:val="22"/>
        </w:rPr>
      </w:pPr>
    </w:p>
    <w:p w:rsidR="00D82490" w:rsidRPr="00F11ECC" w:rsidRDefault="00D82490" w:rsidP="00F11ECC">
      <w:pPr>
        <w:tabs>
          <w:tab w:val="left" w:pos="1913"/>
          <w:tab w:val="left" w:pos="2880"/>
          <w:tab w:val="left" w:pos="4082"/>
          <w:tab w:val="left" w:pos="4834"/>
          <w:tab w:val="left" w:pos="6024"/>
        </w:tabs>
        <w:ind w:left="70"/>
        <w:rPr>
          <w:rFonts w:ascii="Calibri" w:hAnsi="Calibri" w:cs="Calibri"/>
          <w:sz w:val="22"/>
          <w:szCs w:val="22"/>
        </w:rPr>
      </w:pPr>
    </w:p>
    <w:p w:rsidR="00D82490" w:rsidRPr="00C05FC6" w:rsidRDefault="00D82490" w:rsidP="00F11ECC">
      <w:pPr>
        <w:pStyle w:val="Caption"/>
        <w:rPr>
          <w:b/>
          <w:bCs/>
          <w:i w:val="0"/>
          <w:iCs w:val="0"/>
          <w:sz w:val="20"/>
          <w:szCs w:val="20"/>
        </w:rPr>
      </w:pPr>
      <w:r w:rsidRPr="004759F3">
        <w:rPr>
          <w:b/>
          <w:bCs/>
          <w:i w:val="0"/>
          <w:iCs w:val="0"/>
          <w:sz w:val="20"/>
          <w:szCs w:val="20"/>
        </w:rPr>
        <w:t>TAB. 2</w:t>
      </w:r>
      <w:r w:rsidRPr="00C05FC6">
        <w:rPr>
          <w:b/>
          <w:bCs/>
          <w:i w:val="0"/>
          <w:iCs w:val="0"/>
          <w:sz w:val="20"/>
          <w:szCs w:val="20"/>
        </w:rPr>
        <w:t xml:space="preserve"> - Variazione della spesa trimestrale annualizzata per la fornitura di energia elettrica del settore terziario, I</w:t>
      </w:r>
      <w:r>
        <w:rPr>
          <w:b/>
          <w:bCs/>
          <w:i w:val="0"/>
          <w:iCs w:val="0"/>
          <w:sz w:val="20"/>
          <w:szCs w:val="20"/>
        </w:rPr>
        <w:t>V</w:t>
      </w:r>
      <w:r w:rsidRPr="00C05FC6">
        <w:rPr>
          <w:b/>
          <w:bCs/>
          <w:i w:val="0"/>
          <w:iCs w:val="0"/>
          <w:sz w:val="20"/>
          <w:szCs w:val="20"/>
        </w:rPr>
        <w:t xml:space="preserve"> trimestre 201</w:t>
      </w:r>
      <w:r>
        <w:rPr>
          <w:b/>
          <w:bCs/>
          <w:i w:val="0"/>
          <w:iCs w:val="0"/>
          <w:sz w:val="20"/>
          <w:szCs w:val="20"/>
        </w:rPr>
        <w:t>4</w:t>
      </w:r>
      <w:r w:rsidRPr="00C05FC6">
        <w:rPr>
          <w:b/>
          <w:bCs/>
          <w:i w:val="0"/>
          <w:iCs w:val="0"/>
          <w:sz w:val="20"/>
          <w:szCs w:val="20"/>
        </w:rPr>
        <w:t xml:space="preserve"> vs I</w:t>
      </w:r>
      <w:r>
        <w:rPr>
          <w:b/>
          <w:bCs/>
          <w:i w:val="0"/>
          <w:iCs w:val="0"/>
          <w:sz w:val="20"/>
          <w:szCs w:val="20"/>
        </w:rPr>
        <w:t>II</w:t>
      </w:r>
      <w:r w:rsidRPr="00C05FC6">
        <w:rPr>
          <w:b/>
          <w:bCs/>
          <w:i w:val="0"/>
          <w:iCs w:val="0"/>
          <w:sz w:val="20"/>
          <w:szCs w:val="20"/>
        </w:rPr>
        <w:t xml:space="preserve"> trimestre 201</w:t>
      </w:r>
      <w:r>
        <w:rPr>
          <w:b/>
          <w:bCs/>
          <w:i w:val="0"/>
          <w:iCs w:val="0"/>
          <w:sz w:val="20"/>
          <w:szCs w:val="20"/>
        </w:rPr>
        <w:t>4</w:t>
      </w:r>
      <w:r w:rsidRPr="00C05FC6">
        <w:rPr>
          <w:b/>
          <w:bCs/>
          <w:i w:val="0"/>
          <w:iCs w:val="0"/>
          <w:sz w:val="20"/>
          <w:szCs w:val="20"/>
        </w:rPr>
        <w:t xml:space="preserve"> – euro/anno</w:t>
      </w:r>
    </w:p>
    <w:tbl>
      <w:tblPr>
        <w:tblW w:w="7660" w:type="dxa"/>
        <w:tblInd w:w="-68" w:type="dxa"/>
        <w:tblCellMar>
          <w:left w:w="70" w:type="dxa"/>
          <w:right w:w="70" w:type="dxa"/>
        </w:tblCellMar>
        <w:tblLook w:val="00A0"/>
      </w:tblPr>
      <w:tblGrid>
        <w:gridCol w:w="1843"/>
        <w:gridCol w:w="1013"/>
        <w:gridCol w:w="1312"/>
        <w:gridCol w:w="782"/>
        <w:gridCol w:w="1355"/>
        <w:gridCol w:w="1355"/>
      </w:tblGrid>
      <w:tr w:rsidR="00D82490" w:rsidRPr="00F11ECC">
        <w:trPr>
          <w:trHeight w:val="454"/>
        </w:trPr>
        <w:tc>
          <w:tcPr>
            <w:tcW w:w="1843" w:type="dxa"/>
            <w:tcBorders>
              <w:top w:val="single" w:sz="4" w:space="0" w:color="auto"/>
              <w:left w:val="single" w:sz="4" w:space="0" w:color="auto"/>
              <w:bottom w:val="single" w:sz="4" w:space="0" w:color="auto"/>
              <w:right w:val="nil"/>
            </w:tcBorders>
            <w:noWrap/>
            <w:vAlign w:val="bottom"/>
          </w:tcPr>
          <w:p w:rsidR="00D82490" w:rsidRPr="004759F3" w:rsidRDefault="00D82490" w:rsidP="0055676D">
            <w:pPr>
              <w:rPr>
                <w:rFonts w:ascii="Verdana" w:hAnsi="Verdana" w:cs="Verdana"/>
                <w:sz w:val="20"/>
                <w:szCs w:val="20"/>
              </w:rPr>
            </w:pPr>
          </w:p>
        </w:tc>
        <w:tc>
          <w:tcPr>
            <w:tcW w:w="1013" w:type="dxa"/>
            <w:tcBorders>
              <w:top w:val="single" w:sz="4" w:space="0" w:color="auto"/>
              <w:left w:val="single" w:sz="4" w:space="0" w:color="auto"/>
              <w:bottom w:val="single" w:sz="4" w:space="0" w:color="auto"/>
              <w:right w:val="single" w:sz="4" w:space="0" w:color="auto"/>
            </w:tcBorders>
            <w:vAlign w:val="center"/>
          </w:tcPr>
          <w:p w:rsidR="00D82490" w:rsidRPr="004759F3" w:rsidRDefault="00D82490" w:rsidP="0055676D">
            <w:pPr>
              <w:jc w:val="center"/>
              <w:rPr>
                <w:rFonts w:ascii="Verdana" w:hAnsi="Verdana" w:cs="Verdana"/>
                <w:b/>
                <w:bCs/>
                <w:sz w:val="20"/>
                <w:szCs w:val="20"/>
              </w:rPr>
            </w:pPr>
            <w:r w:rsidRPr="004759F3">
              <w:rPr>
                <w:rFonts w:ascii="Verdana" w:hAnsi="Verdana" w:cs="Verdana"/>
                <w:b/>
                <w:bCs/>
                <w:sz w:val="20"/>
                <w:szCs w:val="20"/>
              </w:rPr>
              <w:t>Albergo</w:t>
            </w:r>
          </w:p>
        </w:tc>
        <w:tc>
          <w:tcPr>
            <w:tcW w:w="1312" w:type="dxa"/>
            <w:tcBorders>
              <w:top w:val="single" w:sz="4" w:space="0" w:color="auto"/>
              <w:left w:val="nil"/>
              <w:bottom w:val="single" w:sz="4" w:space="0" w:color="auto"/>
              <w:right w:val="single" w:sz="4" w:space="0" w:color="auto"/>
            </w:tcBorders>
            <w:vAlign w:val="center"/>
          </w:tcPr>
          <w:p w:rsidR="00D82490" w:rsidRPr="004759F3" w:rsidRDefault="00D82490" w:rsidP="0055676D">
            <w:pPr>
              <w:jc w:val="center"/>
              <w:rPr>
                <w:rFonts w:ascii="Verdana" w:hAnsi="Verdana" w:cs="Verdana"/>
                <w:b/>
                <w:bCs/>
                <w:sz w:val="20"/>
                <w:szCs w:val="20"/>
              </w:rPr>
            </w:pPr>
            <w:r w:rsidRPr="004759F3">
              <w:rPr>
                <w:rFonts w:ascii="Verdana" w:hAnsi="Verdana" w:cs="Verdana"/>
                <w:b/>
                <w:bCs/>
                <w:sz w:val="20"/>
                <w:szCs w:val="20"/>
              </w:rPr>
              <w:t>Ristorante</w:t>
            </w:r>
          </w:p>
        </w:tc>
        <w:tc>
          <w:tcPr>
            <w:tcW w:w="782" w:type="dxa"/>
            <w:tcBorders>
              <w:top w:val="single" w:sz="4" w:space="0" w:color="auto"/>
              <w:left w:val="nil"/>
              <w:bottom w:val="single" w:sz="4" w:space="0" w:color="auto"/>
              <w:right w:val="single" w:sz="4" w:space="0" w:color="auto"/>
            </w:tcBorders>
            <w:vAlign w:val="center"/>
          </w:tcPr>
          <w:p w:rsidR="00D82490" w:rsidRPr="004759F3" w:rsidRDefault="00D82490" w:rsidP="0055676D">
            <w:pPr>
              <w:jc w:val="center"/>
              <w:rPr>
                <w:rFonts w:ascii="Verdana" w:hAnsi="Verdana" w:cs="Verdana"/>
                <w:b/>
                <w:bCs/>
                <w:sz w:val="20"/>
                <w:szCs w:val="20"/>
              </w:rPr>
            </w:pPr>
            <w:r w:rsidRPr="004759F3">
              <w:rPr>
                <w:rFonts w:ascii="Verdana" w:hAnsi="Verdana" w:cs="Verdana"/>
                <w:b/>
                <w:bCs/>
                <w:sz w:val="20"/>
                <w:szCs w:val="20"/>
              </w:rPr>
              <w:t>Bar</w:t>
            </w:r>
          </w:p>
        </w:tc>
        <w:tc>
          <w:tcPr>
            <w:tcW w:w="1355" w:type="dxa"/>
            <w:tcBorders>
              <w:top w:val="single" w:sz="4" w:space="0" w:color="auto"/>
              <w:left w:val="nil"/>
              <w:bottom w:val="single" w:sz="4" w:space="0" w:color="auto"/>
              <w:right w:val="single" w:sz="4" w:space="0" w:color="auto"/>
            </w:tcBorders>
            <w:vAlign w:val="center"/>
          </w:tcPr>
          <w:p w:rsidR="00D82490" w:rsidRPr="004759F3" w:rsidRDefault="00D82490" w:rsidP="0055676D">
            <w:pPr>
              <w:jc w:val="center"/>
              <w:rPr>
                <w:rFonts w:ascii="Verdana" w:hAnsi="Verdana" w:cs="Verdana"/>
                <w:b/>
                <w:bCs/>
                <w:sz w:val="20"/>
                <w:szCs w:val="20"/>
              </w:rPr>
            </w:pPr>
            <w:r w:rsidRPr="004759F3">
              <w:rPr>
                <w:rFonts w:ascii="Verdana" w:hAnsi="Verdana" w:cs="Verdana"/>
                <w:b/>
                <w:bCs/>
                <w:sz w:val="20"/>
                <w:szCs w:val="20"/>
              </w:rPr>
              <w:t>Dettaglio alimentare</w:t>
            </w:r>
          </w:p>
        </w:tc>
        <w:tc>
          <w:tcPr>
            <w:tcW w:w="1355" w:type="dxa"/>
            <w:tcBorders>
              <w:top w:val="single" w:sz="4" w:space="0" w:color="auto"/>
              <w:left w:val="nil"/>
              <w:bottom w:val="single" w:sz="4" w:space="0" w:color="auto"/>
              <w:right w:val="single" w:sz="4" w:space="0" w:color="auto"/>
            </w:tcBorders>
            <w:vAlign w:val="center"/>
          </w:tcPr>
          <w:p w:rsidR="00D82490" w:rsidRPr="004759F3" w:rsidRDefault="00D82490" w:rsidP="0055676D">
            <w:pPr>
              <w:jc w:val="center"/>
              <w:rPr>
                <w:rFonts w:ascii="Verdana" w:hAnsi="Verdana" w:cs="Verdana"/>
                <w:b/>
                <w:bCs/>
                <w:sz w:val="20"/>
                <w:szCs w:val="20"/>
              </w:rPr>
            </w:pPr>
            <w:r w:rsidRPr="004759F3">
              <w:rPr>
                <w:rFonts w:ascii="Verdana" w:hAnsi="Verdana" w:cs="Verdana"/>
                <w:b/>
                <w:bCs/>
                <w:sz w:val="20"/>
                <w:szCs w:val="20"/>
              </w:rPr>
              <w:t>Dettaglio non alimentare</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55676D">
            <w:pPr>
              <w:rPr>
                <w:rFonts w:ascii="Verdana" w:hAnsi="Verdana" w:cs="Verdana"/>
                <w:sz w:val="20"/>
                <w:szCs w:val="20"/>
              </w:rPr>
            </w:pPr>
            <w:r>
              <w:rPr>
                <w:rFonts w:ascii="Verdana" w:hAnsi="Verdana" w:cs="Verdana"/>
                <w:sz w:val="20"/>
                <w:szCs w:val="20"/>
              </w:rPr>
              <w:t>Energia</w:t>
            </w:r>
          </w:p>
        </w:tc>
        <w:tc>
          <w:tcPr>
            <w:tcW w:w="1013"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1.732</w:t>
            </w:r>
          </w:p>
        </w:tc>
        <w:tc>
          <w:tcPr>
            <w:tcW w:w="131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231</w:t>
            </w:r>
          </w:p>
        </w:tc>
        <w:tc>
          <w:tcPr>
            <w:tcW w:w="78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132</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502</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128</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55676D">
            <w:pPr>
              <w:rPr>
                <w:rFonts w:ascii="Verdana" w:hAnsi="Verdana" w:cs="Verdana"/>
                <w:sz w:val="20"/>
                <w:szCs w:val="20"/>
              </w:rPr>
            </w:pPr>
            <w:r w:rsidRPr="004759F3">
              <w:rPr>
                <w:rFonts w:ascii="Verdana" w:hAnsi="Verdana" w:cs="Verdana"/>
                <w:sz w:val="20"/>
                <w:szCs w:val="20"/>
              </w:rPr>
              <w:t>Dispacciamento</w:t>
            </w:r>
          </w:p>
        </w:tc>
        <w:tc>
          <w:tcPr>
            <w:tcW w:w="1013"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-257</w:t>
            </w:r>
          </w:p>
        </w:tc>
        <w:tc>
          <w:tcPr>
            <w:tcW w:w="131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-35</w:t>
            </w:r>
          </w:p>
        </w:tc>
        <w:tc>
          <w:tcPr>
            <w:tcW w:w="78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-20</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-74</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-18</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55676D">
            <w:pPr>
              <w:rPr>
                <w:rFonts w:ascii="Verdana" w:hAnsi="Verdana" w:cs="Verdana"/>
                <w:sz w:val="20"/>
                <w:szCs w:val="20"/>
              </w:rPr>
            </w:pPr>
            <w:r w:rsidRPr="004759F3">
              <w:rPr>
                <w:rFonts w:ascii="Verdana" w:hAnsi="Verdana" w:cs="Verdana"/>
                <w:sz w:val="20"/>
                <w:szCs w:val="20"/>
              </w:rPr>
              <w:t>Infrastrutture</w:t>
            </w:r>
          </w:p>
        </w:tc>
        <w:tc>
          <w:tcPr>
            <w:tcW w:w="1013"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0</w:t>
            </w:r>
          </w:p>
        </w:tc>
        <w:tc>
          <w:tcPr>
            <w:tcW w:w="131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0</w:t>
            </w:r>
          </w:p>
        </w:tc>
        <w:tc>
          <w:tcPr>
            <w:tcW w:w="78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0</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0</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0</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55676D">
            <w:pPr>
              <w:rPr>
                <w:rFonts w:ascii="Verdana" w:hAnsi="Verdana" w:cs="Verdana"/>
                <w:sz w:val="20"/>
                <w:szCs w:val="20"/>
              </w:rPr>
            </w:pPr>
            <w:r w:rsidRPr="004759F3">
              <w:rPr>
                <w:rFonts w:ascii="Verdana" w:hAnsi="Verdana" w:cs="Verdana"/>
                <w:sz w:val="20"/>
                <w:szCs w:val="20"/>
              </w:rPr>
              <w:t xml:space="preserve">Oneri </w:t>
            </w:r>
          </w:p>
        </w:tc>
        <w:tc>
          <w:tcPr>
            <w:tcW w:w="1013"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484</w:t>
            </w:r>
          </w:p>
        </w:tc>
        <w:tc>
          <w:tcPr>
            <w:tcW w:w="131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67</w:t>
            </w:r>
          </w:p>
        </w:tc>
        <w:tc>
          <w:tcPr>
            <w:tcW w:w="78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40</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141</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36</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55676D">
            <w:pPr>
              <w:rPr>
                <w:rFonts w:ascii="Verdana" w:hAnsi="Verdana" w:cs="Verdana"/>
                <w:sz w:val="20"/>
                <w:szCs w:val="20"/>
              </w:rPr>
            </w:pPr>
            <w:r w:rsidRPr="004759F3">
              <w:rPr>
                <w:rFonts w:ascii="Verdana" w:hAnsi="Verdana" w:cs="Verdana"/>
                <w:sz w:val="20"/>
                <w:szCs w:val="20"/>
              </w:rPr>
              <w:t>Imposte</w:t>
            </w:r>
          </w:p>
        </w:tc>
        <w:tc>
          <w:tcPr>
            <w:tcW w:w="1013"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0</w:t>
            </w:r>
          </w:p>
        </w:tc>
        <w:tc>
          <w:tcPr>
            <w:tcW w:w="131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0</w:t>
            </w:r>
          </w:p>
        </w:tc>
        <w:tc>
          <w:tcPr>
            <w:tcW w:w="78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0</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0</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0</w:t>
            </w:r>
          </w:p>
        </w:tc>
      </w:tr>
      <w:tr w:rsidR="00D82490" w:rsidRPr="00F11ECC">
        <w:trPr>
          <w:trHeight w:val="454"/>
        </w:trPr>
        <w:tc>
          <w:tcPr>
            <w:tcW w:w="1843" w:type="dxa"/>
            <w:tcBorders>
              <w:top w:val="single" w:sz="4" w:space="0" w:color="auto"/>
              <w:left w:val="single" w:sz="4" w:space="0" w:color="auto"/>
              <w:bottom w:val="single" w:sz="4" w:space="0" w:color="auto"/>
              <w:right w:val="single" w:sz="4" w:space="0" w:color="auto"/>
            </w:tcBorders>
            <w:noWrap/>
            <w:vAlign w:val="bottom"/>
          </w:tcPr>
          <w:p w:rsidR="00D82490" w:rsidRPr="004759F3" w:rsidRDefault="00D82490" w:rsidP="0055676D">
            <w:pPr>
              <w:rPr>
                <w:rFonts w:ascii="Verdana" w:hAnsi="Verdana" w:cs="Verdana"/>
                <w:sz w:val="20"/>
                <w:szCs w:val="20"/>
              </w:rPr>
            </w:pPr>
            <w:r w:rsidRPr="004759F3">
              <w:rPr>
                <w:rFonts w:ascii="Verdana" w:hAnsi="Verdana" w:cs="Verdana"/>
                <w:sz w:val="20"/>
                <w:szCs w:val="20"/>
              </w:rPr>
              <w:t>IVA</w:t>
            </w:r>
          </w:p>
        </w:tc>
        <w:tc>
          <w:tcPr>
            <w:tcW w:w="1013"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431</w:t>
            </w:r>
          </w:p>
        </w:tc>
        <w:tc>
          <w:tcPr>
            <w:tcW w:w="131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58</w:t>
            </w:r>
          </w:p>
        </w:tc>
        <w:tc>
          <w:tcPr>
            <w:tcW w:w="782"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33</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125</w:t>
            </w:r>
          </w:p>
        </w:tc>
        <w:tc>
          <w:tcPr>
            <w:tcW w:w="1355" w:type="dxa"/>
            <w:tcBorders>
              <w:top w:val="single" w:sz="4" w:space="0" w:color="auto"/>
              <w:left w:val="nil"/>
              <w:bottom w:val="single" w:sz="4" w:space="0" w:color="auto"/>
              <w:right w:val="single" w:sz="4" w:space="0" w:color="auto"/>
            </w:tcBorders>
            <w:noWrap/>
            <w:vAlign w:val="bottom"/>
          </w:tcPr>
          <w:p w:rsidR="00D82490" w:rsidRDefault="00D82490" w:rsidP="00532A37">
            <w:pPr>
              <w:jc w:val="right"/>
              <w:rPr>
                <w:rFonts w:ascii="Calibri" w:hAnsi="Calibri" w:cs="Calibri"/>
                <w:color w:val="000000"/>
                <w:sz w:val="22"/>
                <w:szCs w:val="22"/>
              </w:rPr>
            </w:pPr>
            <w:r>
              <w:rPr>
                <w:rFonts w:ascii="Calibri" w:hAnsi="Calibri" w:cs="Calibri"/>
                <w:color w:val="000000"/>
                <w:sz w:val="22"/>
                <w:szCs w:val="22"/>
              </w:rPr>
              <w:t>32</w:t>
            </w:r>
          </w:p>
        </w:tc>
      </w:tr>
      <w:tr w:rsidR="00D82490" w:rsidRPr="00F11ECC">
        <w:trPr>
          <w:trHeight w:val="454"/>
        </w:trPr>
        <w:tc>
          <w:tcPr>
            <w:tcW w:w="1843" w:type="dxa"/>
            <w:tcBorders>
              <w:top w:val="nil"/>
              <w:left w:val="single" w:sz="4" w:space="0" w:color="auto"/>
              <w:bottom w:val="single" w:sz="4" w:space="0" w:color="auto"/>
              <w:right w:val="single" w:sz="4" w:space="0" w:color="auto"/>
            </w:tcBorders>
            <w:noWrap/>
            <w:vAlign w:val="bottom"/>
          </w:tcPr>
          <w:p w:rsidR="00D82490" w:rsidRPr="004759F3" w:rsidRDefault="00D82490" w:rsidP="0055676D">
            <w:pPr>
              <w:rPr>
                <w:rFonts w:ascii="Verdana" w:hAnsi="Verdana" w:cs="Verdana"/>
                <w:b/>
                <w:bCs/>
                <w:sz w:val="20"/>
                <w:szCs w:val="20"/>
              </w:rPr>
            </w:pPr>
            <w:r w:rsidRPr="004759F3">
              <w:rPr>
                <w:rFonts w:ascii="Verdana" w:hAnsi="Verdana" w:cs="Verdana"/>
                <w:b/>
                <w:bCs/>
                <w:sz w:val="20"/>
                <w:szCs w:val="20"/>
              </w:rPr>
              <w:t>Totale</w:t>
            </w:r>
          </w:p>
        </w:tc>
        <w:tc>
          <w:tcPr>
            <w:tcW w:w="1013" w:type="dxa"/>
            <w:tcBorders>
              <w:top w:val="nil"/>
              <w:left w:val="nil"/>
              <w:bottom w:val="single" w:sz="4" w:space="0" w:color="auto"/>
              <w:right w:val="single" w:sz="4" w:space="0" w:color="auto"/>
            </w:tcBorders>
            <w:noWrap/>
            <w:vAlign w:val="bottom"/>
          </w:tcPr>
          <w:p w:rsidR="00D82490" w:rsidRPr="00532A37" w:rsidRDefault="00D82490" w:rsidP="00532A37">
            <w:pPr>
              <w:jc w:val="right"/>
              <w:rPr>
                <w:rFonts w:ascii="Calibri" w:hAnsi="Calibri" w:cs="Calibri"/>
                <w:b/>
                <w:bCs/>
                <w:color w:val="000000"/>
                <w:sz w:val="22"/>
                <w:szCs w:val="22"/>
              </w:rPr>
            </w:pPr>
            <w:r>
              <w:rPr>
                <w:rFonts w:ascii="Calibri" w:hAnsi="Calibri" w:cs="Calibri"/>
                <w:b/>
                <w:bCs/>
                <w:color w:val="000000"/>
                <w:sz w:val="22"/>
                <w:szCs w:val="22"/>
              </w:rPr>
              <w:t>+</w:t>
            </w:r>
            <w:r w:rsidRPr="00532A37">
              <w:rPr>
                <w:rFonts w:ascii="Calibri" w:hAnsi="Calibri" w:cs="Calibri"/>
                <w:b/>
                <w:bCs/>
                <w:color w:val="000000"/>
                <w:sz w:val="22"/>
                <w:szCs w:val="22"/>
              </w:rPr>
              <w:t>2.391</w:t>
            </w:r>
          </w:p>
        </w:tc>
        <w:tc>
          <w:tcPr>
            <w:tcW w:w="1312" w:type="dxa"/>
            <w:tcBorders>
              <w:top w:val="nil"/>
              <w:left w:val="nil"/>
              <w:bottom w:val="single" w:sz="4" w:space="0" w:color="auto"/>
              <w:right w:val="single" w:sz="4" w:space="0" w:color="auto"/>
            </w:tcBorders>
            <w:noWrap/>
            <w:vAlign w:val="bottom"/>
          </w:tcPr>
          <w:p w:rsidR="00D82490" w:rsidRPr="00532A37" w:rsidRDefault="00D82490" w:rsidP="00532A37">
            <w:pPr>
              <w:jc w:val="right"/>
              <w:rPr>
                <w:rFonts w:ascii="Calibri" w:hAnsi="Calibri" w:cs="Calibri"/>
                <w:b/>
                <w:bCs/>
                <w:color w:val="000000"/>
                <w:sz w:val="22"/>
                <w:szCs w:val="22"/>
              </w:rPr>
            </w:pPr>
            <w:r>
              <w:rPr>
                <w:rFonts w:ascii="Calibri" w:hAnsi="Calibri" w:cs="Calibri"/>
                <w:b/>
                <w:bCs/>
                <w:color w:val="000000"/>
                <w:sz w:val="22"/>
                <w:szCs w:val="22"/>
              </w:rPr>
              <w:t>+</w:t>
            </w:r>
            <w:r w:rsidRPr="00532A37">
              <w:rPr>
                <w:rFonts w:ascii="Calibri" w:hAnsi="Calibri" w:cs="Calibri"/>
                <w:b/>
                <w:bCs/>
                <w:color w:val="000000"/>
                <w:sz w:val="22"/>
                <w:szCs w:val="22"/>
              </w:rPr>
              <w:t>322</w:t>
            </w:r>
          </w:p>
        </w:tc>
        <w:tc>
          <w:tcPr>
            <w:tcW w:w="782" w:type="dxa"/>
            <w:tcBorders>
              <w:top w:val="nil"/>
              <w:left w:val="nil"/>
              <w:bottom w:val="single" w:sz="4" w:space="0" w:color="auto"/>
              <w:right w:val="single" w:sz="4" w:space="0" w:color="auto"/>
            </w:tcBorders>
            <w:noWrap/>
            <w:vAlign w:val="bottom"/>
          </w:tcPr>
          <w:p w:rsidR="00D82490" w:rsidRPr="00532A37" w:rsidRDefault="00D82490" w:rsidP="00532A37">
            <w:pPr>
              <w:jc w:val="right"/>
              <w:rPr>
                <w:rFonts w:ascii="Calibri" w:hAnsi="Calibri" w:cs="Calibri"/>
                <w:b/>
                <w:bCs/>
                <w:color w:val="000000"/>
                <w:sz w:val="22"/>
                <w:szCs w:val="22"/>
              </w:rPr>
            </w:pPr>
            <w:r>
              <w:rPr>
                <w:rFonts w:ascii="Calibri" w:hAnsi="Calibri" w:cs="Calibri"/>
                <w:b/>
                <w:bCs/>
                <w:color w:val="000000"/>
                <w:sz w:val="22"/>
                <w:szCs w:val="22"/>
              </w:rPr>
              <w:t>+</w:t>
            </w:r>
            <w:r w:rsidRPr="00532A37">
              <w:rPr>
                <w:rFonts w:ascii="Calibri" w:hAnsi="Calibri" w:cs="Calibri"/>
                <w:b/>
                <w:bCs/>
                <w:color w:val="000000"/>
                <w:sz w:val="22"/>
                <w:szCs w:val="22"/>
              </w:rPr>
              <w:t>186</w:t>
            </w:r>
          </w:p>
        </w:tc>
        <w:tc>
          <w:tcPr>
            <w:tcW w:w="1355" w:type="dxa"/>
            <w:tcBorders>
              <w:top w:val="nil"/>
              <w:left w:val="nil"/>
              <w:bottom w:val="single" w:sz="4" w:space="0" w:color="auto"/>
              <w:right w:val="single" w:sz="4" w:space="0" w:color="auto"/>
            </w:tcBorders>
            <w:noWrap/>
            <w:vAlign w:val="bottom"/>
          </w:tcPr>
          <w:p w:rsidR="00D82490" w:rsidRPr="00532A37" w:rsidRDefault="00D82490" w:rsidP="00532A37">
            <w:pPr>
              <w:jc w:val="right"/>
              <w:rPr>
                <w:rFonts w:ascii="Calibri" w:hAnsi="Calibri" w:cs="Calibri"/>
                <w:b/>
                <w:bCs/>
                <w:color w:val="000000"/>
                <w:sz w:val="22"/>
                <w:szCs w:val="22"/>
              </w:rPr>
            </w:pPr>
            <w:r>
              <w:rPr>
                <w:rFonts w:ascii="Calibri" w:hAnsi="Calibri" w:cs="Calibri"/>
                <w:b/>
                <w:bCs/>
                <w:color w:val="000000"/>
                <w:sz w:val="22"/>
                <w:szCs w:val="22"/>
              </w:rPr>
              <w:t>+</w:t>
            </w:r>
            <w:r w:rsidRPr="00532A37">
              <w:rPr>
                <w:rFonts w:ascii="Calibri" w:hAnsi="Calibri" w:cs="Calibri"/>
                <w:b/>
                <w:bCs/>
                <w:color w:val="000000"/>
                <w:sz w:val="22"/>
                <w:szCs w:val="22"/>
              </w:rPr>
              <w:t>695</w:t>
            </w:r>
          </w:p>
        </w:tc>
        <w:tc>
          <w:tcPr>
            <w:tcW w:w="1355" w:type="dxa"/>
            <w:tcBorders>
              <w:top w:val="nil"/>
              <w:left w:val="nil"/>
              <w:bottom w:val="single" w:sz="4" w:space="0" w:color="auto"/>
              <w:right w:val="single" w:sz="4" w:space="0" w:color="auto"/>
            </w:tcBorders>
            <w:noWrap/>
            <w:vAlign w:val="bottom"/>
          </w:tcPr>
          <w:p w:rsidR="00D82490" w:rsidRPr="00532A37" w:rsidRDefault="00D82490" w:rsidP="00532A37">
            <w:pPr>
              <w:jc w:val="right"/>
              <w:rPr>
                <w:rFonts w:ascii="Calibri" w:hAnsi="Calibri" w:cs="Calibri"/>
                <w:b/>
                <w:bCs/>
                <w:color w:val="000000"/>
                <w:sz w:val="22"/>
                <w:szCs w:val="22"/>
              </w:rPr>
            </w:pPr>
            <w:r>
              <w:rPr>
                <w:rFonts w:ascii="Calibri" w:hAnsi="Calibri" w:cs="Calibri"/>
                <w:b/>
                <w:bCs/>
                <w:color w:val="000000"/>
                <w:sz w:val="22"/>
                <w:szCs w:val="22"/>
              </w:rPr>
              <w:t>+</w:t>
            </w:r>
            <w:r w:rsidRPr="00532A37">
              <w:rPr>
                <w:rFonts w:ascii="Calibri" w:hAnsi="Calibri" w:cs="Calibri"/>
                <w:b/>
                <w:bCs/>
                <w:color w:val="000000"/>
                <w:sz w:val="22"/>
                <w:szCs w:val="22"/>
              </w:rPr>
              <w:t>178</w:t>
            </w:r>
          </w:p>
        </w:tc>
      </w:tr>
    </w:tbl>
    <w:p w:rsidR="00D82490" w:rsidRPr="00366F39" w:rsidRDefault="00D82490" w:rsidP="00F11ECC">
      <w:pPr>
        <w:shd w:val="clear" w:color="auto" w:fill="FFFFFF"/>
        <w:rPr>
          <w:rFonts w:ascii="Verdana" w:hAnsi="Verdana" w:cs="Verdana"/>
          <w:sz w:val="22"/>
          <w:szCs w:val="22"/>
        </w:rPr>
      </w:pPr>
      <w:r w:rsidRPr="00366F39">
        <w:rPr>
          <w:rFonts w:ascii="Verdana" w:hAnsi="Verdana" w:cs="Verdana"/>
          <w:i/>
          <w:iCs/>
          <w:sz w:val="18"/>
          <w:szCs w:val="18"/>
        </w:rPr>
        <w:t>Fonte: elaborazioni Confcommercio-REF Ricerche su dati AEEG</w:t>
      </w:r>
    </w:p>
    <w:p w:rsidR="00D82490" w:rsidRPr="00366F39" w:rsidRDefault="00D82490" w:rsidP="00F11ECC">
      <w:pPr>
        <w:shd w:val="clear" w:color="auto" w:fill="FFFFFF"/>
        <w:rPr>
          <w:rFonts w:ascii="Verdana" w:hAnsi="Verdana" w:cs="Verdana"/>
          <w:sz w:val="22"/>
          <w:szCs w:val="22"/>
        </w:rPr>
      </w:pPr>
    </w:p>
    <w:p w:rsidR="00D82490" w:rsidRDefault="00D82490">
      <w:pPr>
        <w:rPr>
          <w:rFonts w:ascii="Verdana" w:hAnsi="Verdana" w:cs="Verdana"/>
          <w:sz w:val="22"/>
          <w:szCs w:val="22"/>
        </w:rPr>
      </w:pPr>
      <w:r>
        <w:rPr>
          <w:rFonts w:ascii="Verdana" w:hAnsi="Verdana" w:cs="Verdana"/>
          <w:sz w:val="22"/>
          <w:szCs w:val="22"/>
        </w:rPr>
        <w:br w:type="page"/>
      </w:r>
    </w:p>
    <w:p w:rsidR="00D82490" w:rsidRDefault="00D82490" w:rsidP="00F11ECC">
      <w:pPr>
        <w:jc w:val="both"/>
        <w:rPr>
          <w:rFonts w:ascii="Verdana" w:hAnsi="Verdana" w:cs="Verdana"/>
          <w:b/>
          <w:bCs/>
          <w:sz w:val="20"/>
          <w:szCs w:val="20"/>
        </w:rPr>
      </w:pPr>
    </w:p>
    <w:p w:rsidR="00D82490" w:rsidRPr="0040352E" w:rsidRDefault="00D82490" w:rsidP="00F11ECC">
      <w:pPr>
        <w:jc w:val="both"/>
        <w:rPr>
          <w:rFonts w:ascii="Verdana" w:hAnsi="Verdana" w:cs="Verdana"/>
          <w:b/>
          <w:bCs/>
          <w:sz w:val="20"/>
          <w:szCs w:val="20"/>
        </w:rPr>
      </w:pPr>
      <w:r>
        <w:rPr>
          <w:rFonts w:ascii="Verdana" w:hAnsi="Verdana" w:cs="Verdana"/>
          <w:b/>
          <w:bCs/>
          <w:sz w:val="20"/>
          <w:szCs w:val="20"/>
        </w:rPr>
        <w:t>N</w:t>
      </w:r>
      <w:r w:rsidRPr="0040352E">
        <w:rPr>
          <w:rFonts w:ascii="Verdana" w:hAnsi="Verdana" w:cs="Verdana"/>
          <w:b/>
          <w:bCs/>
          <w:sz w:val="20"/>
          <w:szCs w:val="20"/>
        </w:rPr>
        <w:t>OTA METODOLOGICA SINTETICA</w:t>
      </w:r>
    </w:p>
    <w:p w:rsidR="00D82490" w:rsidRDefault="00D82490" w:rsidP="00F11ECC">
      <w:pPr>
        <w:jc w:val="both"/>
        <w:rPr>
          <w:rFonts w:ascii="Verdana" w:hAnsi="Verdana" w:cs="Verdana"/>
          <w:sz w:val="20"/>
          <w:szCs w:val="20"/>
        </w:rPr>
      </w:pPr>
    </w:p>
    <w:p w:rsidR="00D82490" w:rsidRDefault="00D82490" w:rsidP="00F11ECC">
      <w:pPr>
        <w:jc w:val="both"/>
        <w:rPr>
          <w:rFonts w:ascii="Verdana" w:hAnsi="Verdana" w:cs="Verdana"/>
          <w:sz w:val="20"/>
          <w:szCs w:val="20"/>
        </w:rPr>
      </w:pPr>
    </w:p>
    <w:p w:rsidR="00D82490" w:rsidRDefault="00D82490" w:rsidP="00F11ECC">
      <w:pPr>
        <w:jc w:val="both"/>
        <w:rPr>
          <w:rFonts w:ascii="Verdana" w:hAnsi="Verdana" w:cs="Verdana"/>
          <w:sz w:val="20"/>
          <w:szCs w:val="20"/>
        </w:rPr>
      </w:pPr>
    </w:p>
    <w:p w:rsidR="00D82490" w:rsidRPr="0040352E" w:rsidRDefault="00D82490" w:rsidP="00F11ECC">
      <w:pPr>
        <w:jc w:val="both"/>
        <w:rPr>
          <w:rFonts w:ascii="Verdana" w:hAnsi="Verdana" w:cs="Verdana"/>
          <w:sz w:val="20"/>
          <w:szCs w:val="20"/>
        </w:rPr>
      </w:pPr>
    </w:p>
    <w:p w:rsidR="00D82490" w:rsidRPr="0040352E" w:rsidRDefault="00D82490" w:rsidP="00F11ECC">
      <w:pPr>
        <w:jc w:val="both"/>
        <w:rPr>
          <w:rFonts w:ascii="Verdana" w:hAnsi="Verdana" w:cs="Verdana"/>
          <w:sz w:val="20"/>
          <w:szCs w:val="20"/>
        </w:rPr>
      </w:pPr>
      <w:r w:rsidRPr="0040352E">
        <w:rPr>
          <w:rFonts w:ascii="Verdana" w:hAnsi="Verdana" w:cs="Verdana"/>
          <w:sz w:val="20"/>
          <w:szCs w:val="20"/>
        </w:rPr>
        <w:t>ICET è un indice dell’evoluzione di costo della fornitura di energia elettrica costruito da Confcommercio in collaborazione con REF Ricerche. L’indice ICET Confcommercio-REF Ricerche misura l’andamento medio nel corso del tempo della spesa per la fornitura di energia elettrica da parte delle imprese del Terziario servite in regime di maggior tutela ovvero alle condizioni economiche e tariffarie stabilite ed aggiornate trimestralmente dall’Autorità per l’energia elettrica</w:t>
      </w:r>
      <w:r>
        <w:rPr>
          <w:rFonts w:ascii="Verdana" w:hAnsi="Verdana" w:cs="Verdana"/>
          <w:sz w:val="20"/>
          <w:szCs w:val="20"/>
        </w:rPr>
        <w:t xml:space="preserve"> </w:t>
      </w:r>
      <w:r w:rsidRPr="0040352E">
        <w:rPr>
          <w:rFonts w:ascii="Verdana" w:hAnsi="Verdana" w:cs="Verdana"/>
          <w:sz w:val="20"/>
          <w:szCs w:val="20"/>
        </w:rPr>
        <w:t xml:space="preserve">e il gas (AEEG). </w:t>
      </w:r>
    </w:p>
    <w:p w:rsidR="00D82490" w:rsidRPr="0040352E" w:rsidRDefault="00D82490" w:rsidP="00F11ECC">
      <w:pPr>
        <w:jc w:val="both"/>
        <w:rPr>
          <w:rFonts w:ascii="Verdana" w:hAnsi="Verdana" w:cs="Verdana"/>
          <w:sz w:val="20"/>
          <w:szCs w:val="20"/>
        </w:rPr>
      </w:pPr>
    </w:p>
    <w:p w:rsidR="00D82490" w:rsidRPr="0040352E" w:rsidRDefault="00D82490" w:rsidP="00F11ECC">
      <w:pPr>
        <w:jc w:val="both"/>
        <w:rPr>
          <w:rFonts w:ascii="Verdana" w:hAnsi="Verdana" w:cs="Verdana"/>
          <w:sz w:val="20"/>
          <w:szCs w:val="20"/>
        </w:rPr>
      </w:pPr>
      <w:r w:rsidRPr="0040352E">
        <w:rPr>
          <w:rFonts w:ascii="Verdana" w:hAnsi="Verdana" w:cs="Verdana"/>
          <w:sz w:val="20"/>
          <w:szCs w:val="20"/>
        </w:rPr>
        <w:t xml:space="preserve">L’indice ICET Confcommercio-REF Ricerche restituisce in maniera sintetica l’impatto degli aggiornamenti tariffari dell’AEEG sulle categorie del commercio, dell’alloggio e della ristorazione, attraverso il calcolo della spesa per la fornitura di energia elettrica del settore Terziario basato sui profili tipo di consumo più rappresentativi delle categorie suddette. </w:t>
      </w:r>
    </w:p>
    <w:p w:rsidR="00D82490" w:rsidRPr="0040352E" w:rsidRDefault="00D82490" w:rsidP="00F11ECC">
      <w:pPr>
        <w:jc w:val="both"/>
        <w:rPr>
          <w:rFonts w:ascii="Verdana" w:hAnsi="Verdana" w:cs="Verdana"/>
          <w:sz w:val="20"/>
          <w:szCs w:val="20"/>
        </w:rPr>
      </w:pPr>
    </w:p>
    <w:p w:rsidR="00D82490" w:rsidRPr="0040352E" w:rsidRDefault="00D82490" w:rsidP="00F11ECC">
      <w:pPr>
        <w:jc w:val="both"/>
        <w:rPr>
          <w:rFonts w:ascii="Verdana" w:hAnsi="Verdana" w:cs="Verdana"/>
          <w:sz w:val="20"/>
          <w:szCs w:val="20"/>
        </w:rPr>
      </w:pPr>
      <w:r w:rsidRPr="0040352E">
        <w:rPr>
          <w:rFonts w:ascii="Verdana" w:hAnsi="Verdana" w:cs="Verdana"/>
          <w:sz w:val="20"/>
          <w:szCs w:val="20"/>
        </w:rPr>
        <w:t xml:space="preserve">L’indice ICET è costruito come media ponderata delle variazioni di spesa </w:t>
      </w:r>
      <w:r w:rsidRPr="0040352E">
        <w:rPr>
          <w:rFonts w:ascii="Verdana" w:hAnsi="Verdana" w:cs="Verdana"/>
          <w:i/>
          <w:iCs/>
          <w:sz w:val="20"/>
          <w:szCs w:val="20"/>
        </w:rPr>
        <w:t>all inclusive</w:t>
      </w:r>
      <w:r w:rsidRPr="0040352E">
        <w:rPr>
          <w:rFonts w:ascii="Verdana" w:hAnsi="Verdana" w:cs="Verdana"/>
          <w:sz w:val="20"/>
          <w:szCs w:val="20"/>
        </w:rPr>
        <w:t xml:space="preserve"> (al lordo della tassazione) per la fornitura di energia elettrica di cinque profili tipo di attività del Terziario: Albergo, Ristorante, Bar, Dettaglio alimentare, Dettaglio non alimentare. I pesi sono stati stimati da Confcommercio e REF Ricerche sulla base della distribuzione percentuale dei consumi annui delle cinque attività sul totale dei consumi del settore Terziario. Tali pesi sono adottati anche per il calcolo del profilo medio di consumo per fascia oraria del settore Terziario utilizzato nella costruzione dell’indice PUN Terziario.</w:t>
      </w:r>
    </w:p>
    <w:p w:rsidR="00D82490" w:rsidRPr="0040352E" w:rsidRDefault="00D82490" w:rsidP="00F11ECC">
      <w:pPr>
        <w:jc w:val="both"/>
        <w:rPr>
          <w:rFonts w:ascii="Verdana" w:hAnsi="Verdana" w:cs="Verdana"/>
          <w:sz w:val="20"/>
          <w:szCs w:val="20"/>
        </w:rPr>
      </w:pPr>
    </w:p>
    <w:p w:rsidR="00D82490" w:rsidRPr="0040352E" w:rsidRDefault="00D82490" w:rsidP="00F11ECC">
      <w:pPr>
        <w:jc w:val="both"/>
        <w:rPr>
          <w:rFonts w:ascii="Verdana" w:hAnsi="Verdana" w:cs="Verdana"/>
          <w:sz w:val="20"/>
          <w:szCs w:val="20"/>
        </w:rPr>
      </w:pPr>
      <w:r w:rsidRPr="0040352E">
        <w:rPr>
          <w:rFonts w:ascii="Verdana" w:hAnsi="Verdana" w:cs="Verdana"/>
          <w:sz w:val="20"/>
          <w:szCs w:val="20"/>
        </w:rPr>
        <w:t xml:space="preserve">La definizione puntuale dei profili è stata elaborata sulla base dei dati interni a disposizione di Confcommercio e di REF Ricerche, nonché di quelli desunti da analisi di settore. </w:t>
      </w:r>
    </w:p>
    <w:p w:rsidR="00D82490" w:rsidRDefault="00D82490" w:rsidP="00F11ECC">
      <w:pPr>
        <w:jc w:val="both"/>
        <w:rPr>
          <w:rFonts w:ascii="Verdana" w:hAnsi="Verdana" w:cs="Verdana"/>
          <w:sz w:val="20"/>
          <w:szCs w:val="20"/>
        </w:rPr>
      </w:pPr>
      <w:r w:rsidRPr="0040352E">
        <w:rPr>
          <w:rFonts w:ascii="Verdana" w:hAnsi="Verdana" w:cs="Verdana"/>
          <w:sz w:val="20"/>
          <w:szCs w:val="20"/>
        </w:rPr>
        <w:t>Per una descrizione completa dei criteri di calcolo dell’indice ICET si rinvia alla “</w:t>
      </w:r>
      <w:hyperlink r:id="rId10" w:history="1">
        <w:r w:rsidRPr="00CD75E1">
          <w:rPr>
            <w:rStyle w:val="Hyperlink"/>
            <w:rFonts w:ascii="Verdana" w:hAnsi="Verdana" w:cs="Verdana"/>
            <w:sz w:val="20"/>
            <w:szCs w:val="20"/>
          </w:rPr>
          <w:t>Nota Metodologica ICET</w:t>
        </w:r>
      </w:hyperlink>
      <w:r w:rsidRPr="0040352E">
        <w:rPr>
          <w:rFonts w:ascii="Verdana" w:hAnsi="Verdana" w:cs="Verdana"/>
          <w:sz w:val="20"/>
          <w:szCs w:val="20"/>
        </w:rPr>
        <w:t>”.</w:t>
      </w:r>
    </w:p>
    <w:p w:rsidR="00D82490" w:rsidRDefault="00D82490" w:rsidP="00F11ECC">
      <w:pPr>
        <w:jc w:val="both"/>
        <w:rPr>
          <w:rFonts w:ascii="Verdana" w:hAnsi="Verdana" w:cs="Verdana"/>
          <w:sz w:val="20"/>
          <w:szCs w:val="20"/>
        </w:rPr>
      </w:pPr>
    </w:p>
    <w:p w:rsidR="00D82490" w:rsidRDefault="00D82490" w:rsidP="00F11ECC">
      <w:pPr>
        <w:jc w:val="both"/>
        <w:rPr>
          <w:rFonts w:ascii="Georgia" w:hAnsi="Georgia" w:cs="Georgia"/>
          <w:sz w:val="20"/>
          <w:szCs w:val="20"/>
        </w:rPr>
      </w:pPr>
      <w:r w:rsidRPr="00C50731">
        <w:rPr>
          <w:rFonts w:ascii="Georgia" w:hAnsi="Georgia" w:cs="Georgia"/>
          <w:noProof/>
          <w:sz w:val="20"/>
          <w:szCs w:val="20"/>
        </w:rPr>
        <w:pict>
          <v:shape id="Immagine 6" o:spid="_x0000_i1027" type="#_x0000_t75" style="width:477pt;height:156.75pt;visibility:visible">
            <v:imagedata r:id="rId11" o:title=""/>
          </v:shape>
        </w:pict>
      </w:r>
    </w:p>
    <w:p w:rsidR="00D82490" w:rsidRDefault="00D82490" w:rsidP="00F11ECC">
      <w:pPr>
        <w:pStyle w:val="BodyText2"/>
        <w:jc w:val="both"/>
        <w:rPr>
          <w:rFonts w:ascii="Verdana" w:hAnsi="Verdana" w:cs="Verdana"/>
          <w:b w:val="0"/>
          <w:bCs w:val="0"/>
          <w:sz w:val="20"/>
          <w:szCs w:val="20"/>
        </w:rPr>
      </w:pPr>
    </w:p>
    <w:p w:rsidR="00D82490" w:rsidRDefault="00D82490" w:rsidP="00F11ECC">
      <w:pPr>
        <w:ind w:left="5954"/>
        <w:rPr>
          <w:rFonts w:ascii="Verdana" w:hAnsi="Verdana" w:cs="Verdana"/>
          <w:sz w:val="20"/>
          <w:szCs w:val="20"/>
        </w:rPr>
      </w:pPr>
    </w:p>
    <w:sectPr w:rsidR="00D82490" w:rsidSect="003132BF">
      <w:footerReference w:type="default" r:id="rId12"/>
      <w:pgSz w:w="11906" w:h="16838"/>
      <w:pgMar w:top="851" w:right="851" w:bottom="851" w:left="851" w:header="709" w:footer="709" w:gutter="0"/>
      <w:cols w:space="709"/>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490" w:rsidRDefault="00D82490">
      <w:r>
        <w:separator/>
      </w:r>
    </w:p>
  </w:endnote>
  <w:endnote w:type="continuationSeparator" w:id="0">
    <w:p w:rsidR="00D82490" w:rsidRDefault="00D824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Kartika">
    <w:panose1 w:val="02020503030404060203"/>
    <w:charset w:val="00"/>
    <w:family w:val="roman"/>
    <w:pitch w:val="variable"/>
    <w:sig w:usb0="008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490" w:rsidRDefault="00D82490">
    <w:pPr>
      <w:pStyle w:val="Footer"/>
      <w:framePr w:wrap="auto" w:vAnchor="text" w:hAnchor="margin" w:xAlign="right"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separate"/>
    </w:r>
    <w:r>
      <w:rPr>
        <w:rStyle w:val="PageNumber"/>
        <w:noProof/>
        <w:sz w:val="18"/>
        <w:szCs w:val="18"/>
      </w:rPr>
      <w:t>2</w:t>
    </w:r>
    <w:r>
      <w:rPr>
        <w:rStyle w:val="PageNumber"/>
        <w:sz w:val="18"/>
        <w:szCs w:val="18"/>
      </w:rPr>
      <w:fldChar w:fldCharType="end"/>
    </w:r>
  </w:p>
  <w:p w:rsidR="00D82490" w:rsidRDefault="00D8249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490" w:rsidRDefault="00D82490">
      <w:r>
        <w:separator/>
      </w:r>
    </w:p>
  </w:footnote>
  <w:footnote w:type="continuationSeparator" w:id="0">
    <w:p w:rsidR="00D82490" w:rsidRDefault="00D824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C105F"/>
    <w:multiLevelType w:val="hybridMultilevel"/>
    <w:tmpl w:val="7AC8D3E2"/>
    <w:lvl w:ilvl="0" w:tplc="280A51AA">
      <w:start w:val="1"/>
      <w:numFmt w:val="bullet"/>
      <w:lvlText w:val=""/>
      <w:lvlJc w:val="left"/>
      <w:pPr>
        <w:tabs>
          <w:tab w:val="num" w:pos="720"/>
        </w:tabs>
        <w:ind w:left="720" w:hanging="360"/>
      </w:pPr>
      <w:rPr>
        <w:rFonts w:ascii="Symbol" w:hAnsi="Symbol" w:cs="Symbol" w:hint="default"/>
        <w:color w:val="auto"/>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1">
    <w:nsid w:val="1E560644"/>
    <w:multiLevelType w:val="hybridMultilevel"/>
    <w:tmpl w:val="08446504"/>
    <w:lvl w:ilvl="0" w:tplc="04100001">
      <w:start w:val="1"/>
      <w:numFmt w:val="bullet"/>
      <w:lvlText w:val=""/>
      <w:lvlJc w:val="left"/>
      <w:pPr>
        <w:tabs>
          <w:tab w:val="num" w:pos="780"/>
        </w:tabs>
        <w:ind w:left="780" w:hanging="360"/>
      </w:pPr>
      <w:rPr>
        <w:rFonts w:ascii="Symbol" w:hAnsi="Symbol" w:cs="Symbol" w:hint="default"/>
      </w:rPr>
    </w:lvl>
    <w:lvl w:ilvl="1" w:tplc="04100003">
      <w:start w:val="1"/>
      <w:numFmt w:val="bullet"/>
      <w:lvlText w:val="o"/>
      <w:lvlJc w:val="left"/>
      <w:pPr>
        <w:tabs>
          <w:tab w:val="num" w:pos="1500"/>
        </w:tabs>
        <w:ind w:left="1500" w:hanging="360"/>
      </w:pPr>
      <w:rPr>
        <w:rFonts w:ascii="Courier New" w:hAnsi="Courier New" w:cs="Courier New" w:hint="default"/>
      </w:rPr>
    </w:lvl>
    <w:lvl w:ilvl="2" w:tplc="04100005">
      <w:start w:val="1"/>
      <w:numFmt w:val="bullet"/>
      <w:lvlText w:val=""/>
      <w:lvlJc w:val="left"/>
      <w:pPr>
        <w:tabs>
          <w:tab w:val="num" w:pos="2220"/>
        </w:tabs>
        <w:ind w:left="2220" w:hanging="360"/>
      </w:pPr>
      <w:rPr>
        <w:rFonts w:ascii="Wingdings" w:hAnsi="Wingdings" w:cs="Wingdings" w:hint="default"/>
      </w:rPr>
    </w:lvl>
    <w:lvl w:ilvl="3" w:tplc="04100001">
      <w:start w:val="1"/>
      <w:numFmt w:val="bullet"/>
      <w:lvlText w:val=""/>
      <w:lvlJc w:val="left"/>
      <w:pPr>
        <w:tabs>
          <w:tab w:val="num" w:pos="2940"/>
        </w:tabs>
        <w:ind w:left="2940" w:hanging="360"/>
      </w:pPr>
      <w:rPr>
        <w:rFonts w:ascii="Symbol" w:hAnsi="Symbol" w:cs="Symbol" w:hint="default"/>
      </w:rPr>
    </w:lvl>
    <w:lvl w:ilvl="4" w:tplc="04100003">
      <w:start w:val="1"/>
      <w:numFmt w:val="bullet"/>
      <w:lvlText w:val="o"/>
      <w:lvlJc w:val="left"/>
      <w:pPr>
        <w:tabs>
          <w:tab w:val="num" w:pos="3660"/>
        </w:tabs>
        <w:ind w:left="3660" w:hanging="360"/>
      </w:pPr>
      <w:rPr>
        <w:rFonts w:ascii="Courier New" w:hAnsi="Courier New" w:cs="Courier New" w:hint="default"/>
      </w:rPr>
    </w:lvl>
    <w:lvl w:ilvl="5" w:tplc="04100005">
      <w:start w:val="1"/>
      <w:numFmt w:val="bullet"/>
      <w:lvlText w:val=""/>
      <w:lvlJc w:val="left"/>
      <w:pPr>
        <w:tabs>
          <w:tab w:val="num" w:pos="4380"/>
        </w:tabs>
        <w:ind w:left="4380" w:hanging="360"/>
      </w:pPr>
      <w:rPr>
        <w:rFonts w:ascii="Wingdings" w:hAnsi="Wingdings" w:cs="Wingdings" w:hint="default"/>
      </w:rPr>
    </w:lvl>
    <w:lvl w:ilvl="6" w:tplc="04100001">
      <w:start w:val="1"/>
      <w:numFmt w:val="bullet"/>
      <w:lvlText w:val=""/>
      <w:lvlJc w:val="left"/>
      <w:pPr>
        <w:tabs>
          <w:tab w:val="num" w:pos="5100"/>
        </w:tabs>
        <w:ind w:left="5100" w:hanging="360"/>
      </w:pPr>
      <w:rPr>
        <w:rFonts w:ascii="Symbol" w:hAnsi="Symbol" w:cs="Symbol" w:hint="default"/>
      </w:rPr>
    </w:lvl>
    <w:lvl w:ilvl="7" w:tplc="04100003">
      <w:start w:val="1"/>
      <w:numFmt w:val="bullet"/>
      <w:lvlText w:val="o"/>
      <w:lvlJc w:val="left"/>
      <w:pPr>
        <w:tabs>
          <w:tab w:val="num" w:pos="5820"/>
        </w:tabs>
        <w:ind w:left="5820" w:hanging="360"/>
      </w:pPr>
      <w:rPr>
        <w:rFonts w:ascii="Courier New" w:hAnsi="Courier New" w:cs="Courier New" w:hint="default"/>
      </w:rPr>
    </w:lvl>
    <w:lvl w:ilvl="8" w:tplc="04100005">
      <w:start w:val="1"/>
      <w:numFmt w:val="bullet"/>
      <w:lvlText w:val=""/>
      <w:lvlJc w:val="left"/>
      <w:pPr>
        <w:tabs>
          <w:tab w:val="num" w:pos="6540"/>
        </w:tabs>
        <w:ind w:left="6540" w:hanging="360"/>
      </w:pPr>
      <w:rPr>
        <w:rFonts w:ascii="Wingdings" w:hAnsi="Wingdings" w:cs="Wingdings" w:hint="default"/>
      </w:rPr>
    </w:lvl>
  </w:abstractNum>
  <w:abstractNum w:abstractNumId="2">
    <w:nsid w:val="22066EAF"/>
    <w:multiLevelType w:val="hybridMultilevel"/>
    <w:tmpl w:val="4DE0F05E"/>
    <w:lvl w:ilvl="0" w:tplc="5B8091DC">
      <w:start w:val="1"/>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3">
    <w:nsid w:val="569F5193"/>
    <w:multiLevelType w:val="hybridMultilevel"/>
    <w:tmpl w:val="CDF00890"/>
    <w:lvl w:ilvl="0" w:tplc="EF50616C">
      <w:start w:val="1"/>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4">
    <w:nsid w:val="6D372B86"/>
    <w:multiLevelType w:val="hybridMultilevel"/>
    <w:tmpl w:val="DB62CCA4"/>
    <w:lvl w:ilvl="0" w:tplc="04100005">
      <w:start w:val="1"/>
      <w:numFmt w:val="bullet"/>
      <w:lvlText w:val=""/>
      <w:lvlJc w:val="left"/>
      <w:pPr>
        <w:tabs>
          <w:tab w:val="num" w:pos="720"/>
        </w:tabs>
        <w:ind w:left="720" w:hanging="360"/>
      </w:pPr>
      <w:rPr>
        <w:rFonts w:ascii="Wingdings" w:hAnsi="Wingdings" w:cs="Wingdings"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0358"/>
    <w:rsid w:val="00021B19"/>
    <w:rsid w:val="0002768B"/>
    <w:rsid w:val="0003230A"/>
    <w:rsid w:val="000474A3"/>
    <w:rsid w:val="000613AC"/>
    <w:rsid w:val="00071189"/>
    <w:rsid w:val="00071F8A"/>
    <w:rsid w:val="000779B6"/>
    <w:rsid w:val="0008151E"/>
    <w:rsid w:val="000838BA"/>
    <w:rsid w:val="000A1321"/>
    <w:rsid w:val="000A561C"/>
    <w:rsid w:val="000A5AA1"/>
    <w:rsid w:val="000B1D4F"/>
    <w:rsid w:val="000C40F0"/>
    <w:rsid w:val="0010460A"/>
    <w:rsid w:val="00107095"/>
    <w:rsid w:val="001077AC"/>
    <w:rsid w:val="00107CB3"/>
    <w:rsid w:val="001154D4"/>
    <w:rsid w:val="0012261C"/>
    <w:rsid w:val="00122B70"/>
    <w:rsid w:val="001445F3"/>
    <w:rsid w:val="00152850"/>
    <w:rsid w:val="00155176"/>
    <w:rsid w:val="00160661"/>
    <w:rsid w:val="001836B8"/>
    <w:rsid w:val="00184971"/>
    <w:rsid w:val="00185147"/>
    <w:rsid w:val="001B187A"/>
    <w:rsid w:val="001D44CD"/>
    <w:rsid w:val="001D7312"/>
    <w:rsid w:val="001E1629"/>
    <w:rsid w:val="001E7213"/>
    <w:rsid w:val="00207FB3"/>
    <w:rsid w:val="00230563"/>
    <w:rsid w:val="00234503"/>
    <w:rsid w:val="00244867"/>
    <w:rsid w:val="00270C99"/>
    <w:rsid w:val="00282BAD"/>
    <w:rsid w:val="00284D54"/>
    <w:rsid w:val="00293A4F"/>
    <w:rsid w:val="002A7E49"/>
    <w:rsid w:val="002B638E"/>
    <w:rsid w:val="002C08AD"/>
    <w:rsid w:val="002E4040"/>
    <w:rsid w:val="002E7967"/>
    <w:rsid w:val="00305509"/>
    <w:rsid w:val="003132BF"/>
    <w:rsid w:val="00313C1D"/>
    <w:rsid w:val="00314B8B"/>
    <w:rsid w:val="00315EE4"/>
    <w:rsid w:val="00335303"/>
    <w:rsid w:val="003546C8"/>
    <w:rsid w:val="00355A9D"/>
    <w:rsid w:val="00363CB5"/>
    <w:rsid w:val="00366F39"/>
    <w:rsid w:val="00372EE8"/>
    <w:rsid w:val="00394B9C"/>
    <w:rsid w:val="003B20A7"/>
    <w:rsid w:val="003B22D8"/>
    <w:rsid w:val="003C26C0"/>
    <w:rsid w:val="003C2F61"/>
    <w:rsid w:val="003C3259"/>
    <w:rsid w:val="003C53B4"/>
    <w:rsid w:val="003D35B8"/>
    <w:rsid w:val="003E23E8"/>
    <w:rsid w:val="0040352E"/>
    <w:rsid w:val="00424437"/>
    <w:rsid w:val="0043489F"/>
    <w:rsid w:val="00435DB9"/>
    <w:rsid w:val="0044362E"/>
    <w:rsid w:val="004622BA"/>
    <w:rsid w:val="0046338C"/>
    <w:rsid w:val="004759F3"/>
    <w:rsid w:val="00493908"/>
    <w:rsid w:val="00494724"/>
    <w:rsid w:val="004C7CB0"/>
    <w:rsid w:val="004D2E8A"/>
    <w:rsid w:val="004D4B84"/>
    <w:rsid w:val="004E49CD"/>
    <w:rsid w:val="00526C01"/>
    <w:rsid w:val="005275F1"/>
    <w:rsid w:val="00532A37"/>
    <w:rsid w:val="005335F9"/>
    <w:rsid w:val="00535165"/>
    <w:rsid w:val="005375E5"/>
    <w:rsid w:val="005539E5"/>
    <w:rsid w:val="0055676D"/>
    <w:rsid w:val="00560AD1"/>
    <w:rsid w:val="00565E68"/>
    <w:rsid w:val="0059756E"/>
    <w:rsid w:val="005A54D8"/>
    <w:rsid w:val="005B378F"/>
    <w:rsid w:val="005B6799"/>
    <w:rsid w:val="005C6AB3"/>
    <w:rsid w:val="005D4495"/>
    <w:rsid w:val="005D75F1"/>
    <w:rsid w:val="005E4CDB"/>
    <w:rsid w:val="005F4654"/>
    <w:rsid w:val="005F5A73"/>
    <w:rsid w:val="00603060"/>
    <w:rsid w:val="00606A0F"/>
    <w:rsid w:val="00611BEE"/>
    <w:rsid w:val="006130B2"/>
    <w:rsid w:val="006153CB"/>
    <w:rsid w:val="006213EA"/>
    <w:rsid w:val="00642BF8"/>
    <w:rsid w:val="0065717F"/>
    <w:rsid w:val="006651BF"/>
    <w:rsid w:val="00682BFB"/>
    <w:rsid w:val="00685FEA"/>
    <w:rsid w:val="006964E3"/>
    <w:rsid w:val="006A294E"/>
    <w:rsid w:val="006A5875"/>
    <w:rsid w:val="006D0554"/>
    <w:rsid w:val="006D53F8"/>
    <w:rsid w:val="006E557C"/>
    <w:rsid w:val="006F62EA"/>
    <w:rsid w:val="006F7643"/>
    <w:rsid w:val="007120EA"/>
    <w:rsid w:val="00721A8B"/>
    <w:rsid w:val="007252DD"/>
    <w:rsid w:val="00742DD6"/>
    <w:rsid w:val="00770076"/>
    <w:rsid w:val="00780D99"/>
    <w:rsid w:val="00795D62"/>
    <w:rsid w:val="007A4912"/>
    <w:rsid w:val="007B37B5"/>
    <w:rsid w:val="007D4469"/>
    <w:rsid w:val="007E7968"/>
    <w:rsid w:val="008022C0"/>
    <w:rsid w:val="00812985"/>
    <w:rsid w:val="008321C2"/>
    <w:rsid w:val="008357C7"/>
    <w:rsid w:val="00860496"/>
    <w:rsid w:val="008611A6"/>
    <w:rsid w:val="00873EE1"/>
    <w:rsid w:val="0089178A"/>
    <w:rsid w:val="008978CC"/>
    <w:rsid w:val="008A45FD"/>
    <w:rsid w:val="008B2B94"/>
    <w:rsid w:val="00905DF9"/>
    <w:rsid w:val="00921713"/>
    <w:rsid w:val="0093735A"/>
    <w:rsid w:val="00940D75"/>
    <w:rsid w:val="00951522"/>
    <w:rsid w:val="00975F75"/>
    <w:rsid w:val="00976624"/>
    <w:rsid w:val="00980DAB"/>
    <w:rsid w:val="0098176F"/>
    <w:rsid w:val="009C584B"/>
    <w:rsid w:val="009C5B01"/>
    <w:rsid w:val="009D24CF"/>
    <w:rsid w:val="009F74E7"/>
    <w:rsid w:val="00A414A4"/>
    <w:rsid w:val="00A45811"/>
    <w:rsid w:val="00A47B7C"/>
    <w:rsid w:val="00A61F34"/>
    <w:rsid w:val="00A830EC"/>
    <w:rsid w:val="00AB50CD"/>
    <w:rsid w:val="00AB598B"/>
    <w:rsid w:val="00AD4A61"/>
    <w:rsid w:val="00AE5608"/>
    <w:rsid w:val="00AE6062"/>
    <w:rsid w:val="00B332B8"/>
    <w:rsid w:val="00B34ADD"/>
    <w:rsid w:val="00B657C5"/>
    <w:rsid w:val="00B81AC4"/>
    <w:rsid w:val="00B86083"/>
    <w:rsid w:val="00BB5453"/>
    <w:rsid w:val="00BC3780"/>
    <w:rsid w:val="00BF001C"/>
    <w:rsid w:val="00BF0212"/>
    <w:rsid w:val="00C05F9F"/>
    <w:rsid w:val="00C05FC6"/>
    <w:rsid w:val="00C27DA3"/>
    <w:rsid w:val="00C30C18"/>
    <w:rsid w:val="00C427C2"/>
    <w:rsid w:val="00C475A0"/>
    <w:rsid w:val="00C50731"/>
    <w:rsid w:val="00C522EA"/>
    <w:rsid w:val="00C538E7"/>
    <w:rsid w:val="00C55BA5"/>
    <w:rsid w:val="00C717E1"/>
    <w:rsid w:val="00C97692"/>
    <w:rsid w:val="00CB17DF"/>
    <w:rsid w:val="00CB77C0"/>
    <w:rsid w:val="00CC1E62"/>
    <w:rsid w:val="00CD2B90"/>
    <w:rsid w:val="00CD75E1"/>
    <w:rsid w:val="00CF0339"/>
    <w:rsid w:val="00CF3B31"/>
    <w:rsid w:val="00D105C8"/>
    <w:rsid w:val="00D156C2"/>
    <w:rsid w:val="00D15EE1"/>
    <w:rsid w:val="00D2291E"/>
    <w:rsid w:val="00D264F0"/>
    <w:rsid w:val="00D52AAD"/>
    <w:rsid w:val="00D56621"/>
    <w:rsid w:val="00D70BB1"/>
    <w:rsid w:val="00D712E6"/>
    <w:rsid w:val="00D82490"/>
    <w:rsid w:val="00D84878"/>
    <w:rsid w:val="00D9151F"/>
    <w:rsid w:val="00DB0765"/>
    <w:rsid w:val="00DB6E79"/>
    <w:rsid w:val="00DC2DDC"/>
    <w:rsid w:val="00DD00D7"/>
    <w:rsid w:val="00DF58BB"/>
    <w:rsid w:val="00E10C28"/>
    <w:rsid w:val="00E11657"/>
    <w:rsid w:val="00E12AC0"/>
    <w:rsid w:val="00E24D31"/>
    <w:rsid w:val="00E261D7"/>
    <w:rsid w:val="00E30D12"/>
    <w:rsid w:val="00E4469D"/>
    <w:rsid w:val="00E50358"/>
    <w:rsid w:val="00E66EC0"/>
    <w:rsid w:val="00EA1226"/>
    <w:rsid w:val="00EB5A1C"/>
    <w:rsid w:val="00EC15D0"/>
    <w:rsid w:val="00EC6316"/>
    <w:rsid w:val="00EE5E92"/>
    <w:rsid w:val="00F05050"/>
    <w:rsid w:val="00F11ECC"/>
    <w:rsid w:val="00F20A55"/>
    <w:rsid w:val="00F21E3E"/>
    <w:rsid w:val="00F23A9E"/>
    <w:rsid w:val="00F3572B"/>
    <w:rsid w:val="00F35806"/>
    <w:rsid w:val="00F446A9"/>
    <w:rsid w:val="00F53207"/>
    <w:rsid w:val="00F62982"/>
    <w:rsid w:val="00F8461A"/>
    <w:rsid w:val="00F91040"/>
    <w:rsid w:val="00F9461C"/>
    <w:rsid w:val="00F978CB"/>
    <w:rsid w:val="00FA2B60"/>
    <w:rsid w:val="00FB0E05"/>
    <w:rsid w:val="00FB4E4B"/>
    <w:rsid w:val="00FC3400"/>
    <w:rsid w:val="00FD1380"/>
    <w:rsid w:val="00FD400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sz w:val="22"/>
        <w:szCs w:val="22"/>
        <w:lang w:val="it-IT" w:eastAsia="it-I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717F"/>
    <w:rPr>
      <w:rFonts w:ascii="Geneva" w:hAnsi="Geneva" w:cs="Geneva"/>
      <w:sz w:val="28"/>
      <w:szCs w:val="28"/>
    </w:rPr>
  </w:style>
  <w:style w:type="paragraph" w:styleId="Heading1">
    <w:name w:val="heading 1"/>
    <w:basedOn w:val="Normal"/>
    <w:next w:val="Normal"/>
    <w:link w:val="Heading1Char"/>
    <w:uiPriority w:val="99"/>
    <w:qFormat/>
    <w:rsid w:val="0065717F"/>
    <w:pPr>
      <w:keepNext/>
      <w:jc w:val="center"/>
      <w:outlineLvl w:val="0"/>
    </w:pPr>
    <w:rPr>
      <w:rFonts w:ascii="Times New Roman" w:eastAsia="Times New Roman" w:hAnsi="Times New Roman" w:cs="Times New Roman"/>
    </w:rPr>
  </w:style>
  <w:style w:type="paragraph" w:styleId="Heading2">
    <w:name w:val="heading 2"/>
    <w:basedOn w:val="Normal"/>
    <w:next w:val="Normal"/>
    <w:link w:val="Heading2Char"/>
    <w:uiPriority w:val="99"/>
    <w:qFormat/>
    <w:rsid w:val="0065717F"/>
    <w:pPr>
      <w:keepNext/>
      <w:jc w:val="center"/>
      <w:outlineLvl w:val="1"/>
    </w:pPr>
    <w:rPr>
      <w:rFonts w:ascii="Times New Roman" w:eastAsia="Times New Roman" w:hAnsi="Times New Roman" w:cs="Times New Roman"/>
      <w:sz w:val="24"/>
      <w:szCs w:val="24"/>
      <w:u w:val="single"/>
    </w:rPr>
  </w:style>
  <w:style w:type="paragraph" w:styleId="Heading3">
    <w:name w:val="heading 3"/>
    <w:basedOn w:val="Normal"/>
    <w:next w:val="Normal"/>
    <w:link w:val="Heading3Char"/>
    <w:uiPriority w:val="99"/>
    <w:qFormat/>
    <w:rsid w:val="0065717F"/>
    <w:pPr>
      <w:keepNext/>
      <w:jc w:val="both"/>
      <w:outlineLvl w:val="2"/>
    </w:pPr>
    <w:rPr>
      <w:rFonts w:ascii="Comic Sans MS" w:eastAsia="Times New Roman" w:hAnsi="Comic Sans MS" w:cs="Comic Sans MS"/>
      <w:b/>
      <w:bCs/>
      <w:i/>
      <w:iCs/>
      <w:color w:val="008080"/>
    </w:rPr>
  </w:style>
  <w:style w:type="paragraph" w:styleId="Heading4">
    <w:name w:val="heading 4"/>
    <w:basedOn w:val="Normal"/>
    <w:next w:val="Normal"/>
    <w:link w:val="Heading4Char"/>
    <w:uiPriority w:val="99"/>
    <w:qFormat/>
    <w:rsid w:val="0065717F"/>
    <w:pPr>
      <w:keepNext/>
      <w:spacing w:line="360" w:lineRule="auto"/>
      <w:jc w:val="center"/>
      <w:outlineLvl w:val="3"/>
    </w:pPr>
    <w:rPr>
      <w:rFonts w:ascii="Verdana" w:eastAsia="Times New Roman" w:hAnsi="Verdana" w:cs="Verdana"/>
      <w:b/>
      <w:bCs/>
      <w:u w:val="single"/>
    </w:rPr>
  </w:style>
  <w:style w:type="paragraph" w:styleId="Heading5">
    <w:name w:val="heading 5"/>
    <w:basedOn w:val="Normal"/>
    <w:next w:val="Normal"/>
    <w:link w:val="Heading5Char"/>
    <w:uiPriority w:val="99"/>
    <w:qFormat/>
    <w:rsid w:val="0065717F"/>
    <w:pPr>
      <w:keepNext/>
      <w:jc w:val="both"/>
      <w:outlineLvl w:val="4"/>
    </w:pPr>
    <w:rPr>
      <w:rFonts w:ascii="Verdana" w:hAnsi="Verdana" w:cs="Verdana"/>
      <w:b/>
      <w:bCs/>
      <w:sz w:val="20"/>
      <w:szCs w:val="20"/>
    </w:rPr>
  </w:style>
  <w:style w:type="paragraph" w:styleId="Heading6">
    <w:name w:val="heading 6"/>
    <w:basedOn w:val="Normal"/>
    <w:next w:val="Normal"/>
    <w:link w:val="Heading6Char"/>
    <w:uiPriority w:val="99"/>
    <w:qFormat/>
    <w:rsid w:val="0065717F"/>
    <w:pPr>
      <w:keepNext/>
      <w:spacing w:before="120" w:after="120"/>
      <w:jc w:val="both"/>
      <w:outlineLvl w:val="5"/>
    </w:pPr>
    <w:rPr>
      <w:rFonts w:ascii="Times New Roman" w:eastAsia="Times New Roman" w:hAnsi="Times New Roman" w:cs="Times New Roman"/>
      <w:b/>
      <w:bCs/>
      <w:sz w:val="24"/>
      <w:szCs w:val="24"/>
    </w:rPr>
  </w:style>
  <w:style w:type="paragraph" w:styleId="Heading7">
    <w:name w:val="heading 7"/>
    <w:basedOn w:val="Normal"/>
    <w:next w:val="Normal"/>
    <w:link w:val="Heading7Char"/>
    <w:uiPriority w:val="99"/>
    <w:qFormat/>
    <w:rsid w:val="0065717F"/>
    <w:pPr>
      <w:keepNext/>
      <w:jc w:val="both"/>
      <w:outlineLvl w:val="6"/>
    </w:pPr>
    <w:rPr>
      <w:i/>
      <w:iCs/>
      <w:sz w:val="18"/>
      <w:szCs w:val="18"/>
    </w:rPr>
  </w:style>
  <w:style w:type="paragraph" w:styleId="Heading8">
    <w:name w:val="heading 8"/>
    <w:basedOn w:val="Normal"/>
    <w:next w:val="Normal"/>
    <w:link w:val="Heading8Char"/>
    <w:uiPriority w:val="99"/>
    <w:qFormat/>
    <w:rsid w:val="0065717F"/>
    <w:pPr>
      <w:keepNext/>
      <w:jc w:val="both"/>
      <w:outlineLvl w:val="7"/>
    </w:pPr>
    <w:rPr>
      <w:i/>
      <w:iCs/>
      <w:sz w:val="20"/>
      <w:szCs w:val="20"/>
    </w:rPr>
  </w:style>
  <w:style w:type="paragraph" w:styleId="Heading9">
    <w:name w:val="heading 9"/>
    <w:basedOn w:val="Normal"/>
    <w:next w:val="Normal"/>
    <w:link w:val="Heading9Char"/>
    <w:uiPriority w:val="99"/>
    <w:qFormat/>
    <w:rsid w:val="0065717F"/>
    <w:pPr>
      <w:keepNext/>
      <w:outlineLvl w:val="8"/>
    </w:pPr>
    <w:rPr>
      <w:rFonts w:ascii="Verdana" w:hAnsi="Verdana" w:cs="Verdana"/>
      <w:i/>
      <w:iCs/>
      <w:sz w:val="16"/>
      <w:szCs w:val="1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1F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211F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211F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C211F4"/>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C211F4"/>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C211F4"/>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C211F4"/>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C211F4"/>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C211F4"/>
    <w:rPr>
      <w:rFonts w:asciiTheme="majorHAnsi" w:eastAsiaTheme="majorEastAsia" w:hAnsiTheme="majorHAnsi" w:cstheme="majorBidi"/>
    </w:rPr>
  </w:style>
  <w:style w:type="paragraph" w:styleId="Header">
    <w:name w:val="header"/>
    <w:basedOn w:val="Normal"/>
    <w:link w:val="HeaderChar"/>
    <w:uiPriority w:val="99"/>
    <w:semiHidden/>
    <w:rsid w:val="0065717F"/>
    <w:pPr>
      <w:tabs>
        <w:tab w:val="center" w:pos="4153"/>
        <w:tab w:val="right" w:pos="8306"/>
      </w:tabs>
    </w:pPr>
  </w:style>
  <w:style w:type="character" w:customStyle="1" w:styleId="HeaderChar">
    <w:name w:val="Header Char"/>
    <w:basedOn w:val="DefaultParagraphFont"/>
    <w:link w:val="Header"/>
    <w:uiPriority w:val="99"/>
    <w:semiHidden/>
    <w:rsid w:val="00C211F4"/>
    <w:rPr>
      <w:rFonts w:ascii="Geneva" w:hAnsi="Geneva" w:cs="Geneva"/>
      <w:sz w:val="28"/>
      <w:szCs w:val="28"/>
    </w:rPr>
  </w:style>
  <w:style w:type="paragraph" w:styleId="Footer">
    <w:name w:val="footer"/>
    <w:basedOn w:val="Normal"/>
    <w:link w:val="FooterChar"/>
    <w:uiPriority w:val="99"/>
    <w:semiHidden/>
    <w:rsid w:val="0065717F"/>
    <w:pPr>
      <w:tabs>
        <w:tab w:val="center" w:pos="4153"/>
        <w:tab w:val="right" w:pos="8306"/>
      </w:tabs>
    </w:pPr>
  </w:style>
  <w:style w:type="character" w:customStyle="1" w:styleId="FooterChar">
    <w:name w:val="Footer Char"/>
    <w:basedOn w:val="DefaultParagraphFont"/>
    <w:link w:val="Footer"/>
    <w:uiPriority w:val="99"/>
    <w:semiHidden/>
    <w:locked/>
    <w:rsid w:val="00F20A55"/>
    <w:rPr>
      <w:rFonts w:ascii="Geneva" w:hAnsi="Geneva" w:cs="Geneva"/>
      <w:sz w:val="28"/>
      <w:szCs w:val="28"/>
    </w:rPr>
  </w:style>
  <w:style w:type="paragraph" w:styleId="BodyText">
    <w:name w:val="Body Text"/>
    <w:basedOn w:val="Normal"/>
    <w:link w:val="BodyTextChar"/>
    <w:uiPriority w:val="99"/>
    <w:semiHidden/>
    <w:rsid w:val="0065717F"/>
    <w:pPr>
      <w:jc w:val="both"/>
    </w:pPr>
  </w:style>
  <w:style w:type="character" w:customStyle="1" w:styleId="BodyTextChar">
    <w:name w:val="Body Text Char"/>
    <w:basedOn w:val="DefaultParagraphFont"/>
    <w:link w:val="BodyText"/>
    <w:uiPriority w:val="99"/>
    <w:semiHidden/>
    <w:rsid w:val="00C211F4"/>
    <w:rPr>
      <w:rFonts w:ascii="Geneva" w:hAnsi="Geneva" w:cs="Geneva"/>
      <w:sz w:val="28"/>
      <w:szCs w:val="28"/>
    </w:rPr>
  </w:style>
  <w:style w:type="paragraph" w:styleId="BodyTextIndent">
    <w:name w:val="Body Text Indent"/>
    <w:basedOn w:val="Normal"/>
    <w:link w:val="BodyTextIndentChar"/>
    <w:uiPriority w:val="99"/>
    <w:semiHidden/>
    <w:rsid w:val="0065717F"/>
    <w:pPr>
      <w:ind w:firstLine="709"/>
      <w:jc w:val="both"/>
    </w:pPr>
    <w:rPr>
      <w:rFonts w:ascii="Arial" w:eastAsia="Times New Roman" w:hAnsi="Arial" w:cs="Arial"/>
      <w:sz w:val="24"/>
      <w:szCs w:val="24"/>
    </w:rPr>
  </w:style>
  <w:style w:type="character" w:customStyle="1" w:styleId="BodyTextIndentChar">
    <w:name w:val="Body Text Indent Char"/>
    <w:basedOn w:val="DefaultParagraphFont"/>
    <w:link w:val="BodyTextIndent"/>
    <w:uiPriority w:val="99"/>
    <w:semiHidden/>
    <w:rsid w:val="00C211F4"/>
    <w:rPr>
      <w:rFonts w:ascii="Geneva" w:hAnsi="Geneva" w:cs="Geneva"/>
      <w:sz w:val="28"/>
      <w:szCs w:val="28"/>
    </w:rPr>
  </w:style>
  <w:style w:type="paragraph" w:styleId="BodyText2">
    <w:name w:val="Body Text 2"/>
    <w:basedOn w:val="Normal"/>
    <w:link w:val="BodyText2Char"/>
    <w:uiPriority w:val="99"/>
    <w:semiHidden/>
    <w:rsid w:val="0065717F"/>
    <w:pPr>
      <w:jc w:val="center"/>
    </w:pPr>
    <w:rPr>
      <w:b/>
      <w:bCs/>
    </w:rPr>
  </w:style>
  <w:style w:type="character" w:customStyle="1" w:styleId="BodyText2Char">
    <w:name w:val="Body Text 2 Char"/>
    <w:basedOn w:val="DefaultParagraphFont"/>
    <w:link w:val="BodyText2"/>
    <w:uiPriority w:val="99"/>
    <w:semiHidden/>
    <w:rsid w:val="00C211F4"/>
    <w:rPr>
      <w:rFonts w:ascii="Geneva" w:hAnsi="Geneva" w:cs="Geneva"/>
      <w:sz w:val="28"/>
      <w:szCs w:val="28"/>
    </w:rPr>
  </w:style>
  <w:style w:type="character" w:styleId="Hyperlink">
    <w:name w:val="Hyperlink"/>
    <w:basedOn w:val="DefaultParagraphFont"/>
    <w:uiPriority w:val="99"/>
    <w:semiHidden/>
    <w:rsid w:val="0065717F"/>
    <w:rPr>
      <w:color w:val="0000FF"/>
      <w:u w:val="single"/>
    </w:rPr>
  </w:style>
  <w:style w:type="paragraph" w:styleId="BodyText3">
    <w:name w:val="Body Text 3"/>
    <w:basedOn w:val="Normal"/>
    <w:link w:val="BodyText3Char"/>
    <w:uiPriority w:val="99"/>
    <w:semiHidden/>
    <w:rsid w:val="0065717F"/>
    <w:pPr>
      <w:jc w:val="center"/>
    </w:pPr>
    <w:rPr>
      <w:rFonts w:ascii="Verdana" w:hAnsi="Verdana" w:cs="Verdana"/>
      <w:sz w:val="16"/>
      <w:szCs w:val="16"/>
    </w:rPr>
  </w:style>
  <w:style w:type="character" w:customStyle="1" w:styleId="BodyText3Char">
    <w:name w:val="Body Text 3 Char"/>
    <w:basedOn w:val="DefaultParagraphFont"/>
    <w:link w:val="BodyText3"/>
    <w:uiPriority w:val="99"/>
    <w:semiHidden/>
    <w:rsid w:val="00C211F4"/>
    <w:rPr>
      <w:rFonts w:ascii="Geneva" w:hAnsi="Geneva" w:cs="Geneva"/>
      <w:sz w:val="16"/>
      <w:szCs w:val="16"/>
    </w:rPr>
  </w:style>
  <w:style w:type="character" w:styleId="PageNumber">
    <w:name w:val="page number"/>
    <w:basedOn w:val="DefaultParagraphFont"/>
    <w:uiPriority w:val="99"/>
    <w:semiHidden/>
    <w:rsid w:val="0065717F"/>
  </w:style>
  <w:style w:type="paragraph" w:customStyle="1" w:styleId="xl25">
    <w:name w:val="xl25"/>
    <w:basedOn w:val="Normal"/>
    <w:uiPriority w:val="99"/>
    <w:rsid w:val="0065717F"/>
    <w:pPr>
      <w:spacing w:before="100" w:beforeAutospacing="1" w:after="100" w:afterAutospacing="1"/>
    </w:pPr>
    <w:rPr>
      <w:rFonts w:ascii="Verdana" w:hAnsi="Verdana" w:cs="Verdana"/>
      <w:sz w:val="24"/>
      <w:szCs w:val="24"/>
    </w:rPr>
  </w:style>
  <w:style w:type="paragraph" w:customStyle="1" w:styleId="RIENTRO">
    <w:name w:val="RIENTRO"/>
    <w:basedOn w:val="Normal"/>
    <w:uiPriority w:val="99"/>
    <w:rsid w:val="0065717F"/>
    <w:pPr>
      <w:spacing w:before="120" w:after="120"/>
      <w:ind w:left="284" w:hanging="284"/>
      <w:jc w:val="both"/>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rsid w:val="0065717F"/>
    <w:pPr>
      <w:ind w:left="284" w:hanging="284"/>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C211F4"/>
    <w:rPr>
      <w:rFonts w:ascii="Geneva" w:hAnsi="Geneva" w:cs="Geneva"/>
      <w:sz w:val="20"/>
      <w:szCs w:val="20"/>
    </w:rPr>
  </w:style>
  <w:style w:type="character" w:styleId="FootnoteReference">
    <w:name w:val="footnote reference"/>
    <w:basedOn w:val="DefaultParagraphFont"/>
    <w:uiPriority w:val="99"/>
    <w:semiHidden/>
    <w:rsid w:val="0065717F"/>
    <w:rPr>
      <w:vertAlign w:val="superscript"/>
    </w:rPr>
  </w:style>
  <w:style w:type="paragraph" w:styleId="BodyTextIndent3">
    <w:name w:val="Body Text Indent 3"/>
    <w:basedOn w:val="Normal"/>
    <w:link w:val="BodyTextIndent3Char"/>
    <w:uiPriority w:val="99"/>
    <w:semiHidden/>
    <w:rsid w:val="0065717F"/>
    <w:pPr>
      <w:spacing w:line="360" w:lineRule="auto"/>
      <w:ind w:firstLine="709"/>
      <w:jc w:val="both"/>
    </w:pPr>
    <w:rPr>
      <w:rFonts w:ascii="Verdana" w:eastAsia="Times New Roman" w:hAnsi="Verdana" w:cs="Verdana"/>
      <w:b/>
      <w:bCs/>
      <w:i/>
      <w:iCs/>
      <w:sz w:val="20"/>
      <w:szCs w:val="20"/>
    </w:rPr>
  </w:style>
  <w:style w:type="character" w:customStyle="1" w:styleId="BodyTextIndent3Char">
    <w:name w:val="Body Text Indent 3 Char"/>
    <w:basedOn w:val="DefaultParagraphFont"/>
    <w:link w:val="BodyTextIndent3"/>
    <w:uiPriority w:val="99"/>
    <w:semiHidden/>
    <w:rsid w:val="00C211F4"/>
    <w:rPr>
      <w:rFonts w:ascii="Geneva" w:hAnsi="Geneva" w:cs="Geneva"/>
      <w:sz w:val="16"/>
      <w:szCs w:val="16"/>
    </w:rPr>
  </w:style>
  <w:style w:type="paragraph" w:styleId="BodyTextIndent2">
    <w:name w:val="Body Text Indent 2"/>
    <w:basedOn w:val="Normal"/>
    <w:link w:val="BodyTextIndent2Char"/>
    <w:uiPriority w:val="99"/>
    <w:semiHidden/>
    <w:rsid w:val="0065717F"/>
    <w:pPr>
      <w:ind w:firstLine="708"/>
      <w:jc w:val="both"/>
    </w:pPr>
    <w:rPr>
      <w:rFonts w:ascii="Verdana" w:hAnsi="Verdana" w:cs="Verdana"/>
      <w:sz w:val="20"/>
      <w:szCs w:val="20"/>
    </w:rPr>
  </w:style>
  <w:style w:type="character" w:customStyle="1" w:styleId="BodyTextIndent2Char">
    <w:name w:val="Body Text Indent 2 Char"/>
    <w:basedOn w:val="DefaultParagraphFont"/>
    <w:link w:val="BodyTextIndent2"/>
    <w:uiPriority w:val="99"/>
    <w:semiHidden/>
    <w:rsid w:val="00C211F4"/>
    <w:rPr>
      <w:rFonts w:ascii="Geneva" w:hAnsi="Geneva" w:cs="Geneva"/>
      <w:sz w:val="28"/>
      <w:szCs w:val="28"/>
    </w:rPr>
  </w:style>
  <w:style w:type="paragraph" w:styleId="Caption">
    <w:name w:val="caption"/>
    <w:basedOn w:val="Normal"/>
    <w:next w:val="Normal"/>
    <w:uiPriority w:val="99"/>
    <w:qFormat/>
    <w:rsid w:val="0065717F"/>
    <w:rPr>
      <w:rFonts w:ascii="Verdana" w:hAnsi="Verdana" w:cs="Verdana"/>
      <w:i/>
      <w:iCs/>
      <w:sz w:val="18"/>
      <w:szCs w:val="18"/>
    </w:rPr>
  </w:style>
  <w:style w:type="paragraph" w:customStyle="1" w:styleId="xl27">
    <w:name w:val="xl27"/>
    <w:basedOn w:val="Normal"/>
    <w:uiPriority w:val="99"/>
    <w:rsid w:val="0065717F"/>
    <w:pPr>
      <w:spacing w:before="100" w:beforeAutospacing="1" w:after="100" w:afterAutospacing="1"/>
      <w:jc w:val="center"/>
    </w:pPr>
    <w:rPr>
      <w:rFonts w:ascii="Kartika" w:hAnsi="Kartika" w:cs="Kartika"/>
      <w:sz w:val="24"/>
      <w:szCs w:val="24"/>
    </w:rPr>
  </w:style>
  <w:style w:type="paragraph" w:customStyle="1" w:styleId="xl26">
    <w:name w:val="xl26"/>
    <w:basedOn w:val="Normal"/>
    <w:uiPriority w:val="99"/>
    <w:rsid w:val="0065717F"/>
    <w:pPr>
      <w:spacing w:before="100" w:beforeAutospacing="1" w:after="100" w:afterAutospacing="1"/>
      <w:jc w:val="center"/>
    </w:pPr>
    <w:rPr>
      <w:rFonts w:ascii="Verdana" w:hAnsi="Verdana" w:cs="Verdana"/>
      <w:b/>
      <w:bCs/>
      <w:sz w:val="16"/>
      <w:szCs w:val="16"/>
    </w:rPr>
  </w:style>
  <w:style w:type="paragraph" w:customStyle="1" w:styleId="xl24">
    <w:name w:val="xl24"/>
    <w:basedOn w:val="Normal"/>
    <w:uiPriority w:val="99"/>
    <w:rsid w:val="0065717F"/>
    <w:pPr>
      <w:spacing w:before="100" w:beforeAutospacing="1" w:after="100" w:afterAutospacing="1"/>
    </w:pPr>
    <w:rPr>
      <w:rFonts w:ascii="Verdana" w:hAnsi="Verdana" w:cs="Verdana"/>
      <w:b/>
      <w:bCs/>
      <w:sz w:val="16"/>
      <w:szCs w:val="16"/>
    </w:rPr>
  </w:style>
  <w:style w:type="character" w:styleId="FollowedHyperlink">
    <w:name w:val="FollowedHyperlink"/>
    <w:basedOn w:val="DefaultParagraphFont"/>
    <w:uiPriority w:val="99"/>
    <w:semiHidden/>
    <w:rsid w:val="0065717F"/>
    <w:rPr>
      <w:color w:val="800080"/>
      <w:u w:val="single"/>
    </w:rPr>
  </w:style>
  <w:style w:type="paragraph" w:customStyle="1" w:styleId="xl28">
    <w:name w:val="xl28"/>
    <w:basedOn w:val="Normal"/>
    <w:uiPriority w:val="99"/>
    <w:rsid w:val="0065717F"/>
    <w:pPr>
      <w:spacing w:before="100" w:beforeAutospacing="1" w:after="100" w:afterAutospacing="1"/>
      <w:jc w:val="center"/>
    </w:pPr>
    <w:rPr>
      <w:rFonts w:ascii="Verdana" w:hAnsi="Verdana" w:cs="Verdana"/>
      <w:b/>
      <w:bCs/>
      <w:sz w:val="16"/>
      <w:szCs w:val="16"/>
    </w:rPr>
  </w:style>
  <w:style w:type="paragraph" w:customStyle="1" w:styleId="xl29">
    <w:name w:val="xl29"/>
    <w:basedOn w:val="Normal"/>
    <w:uiPriority w:val="99"/>
    <w:rsid w:val="0065717F"/>
    <w:pPr>
      <w:spacing w:before="100" w:beforeAutospacing="1" w:after="100" w:afterAutospacing="1"/>
      <w:jc w:val="center"/>
    </w:pPr>
    <w:rPr>
      <w:rFonts w:ascii="Verdana" w:hAnsi="Verdana" w:cs="Verdana"/>
      <w:sz w:val="16"/>
      <w:szCs w:val="16"/>
    </w:rPr>
  </w:style>
  <w:style w:type="paragraph" w:customStyle="1" w:styleId="xl30">
    <w:name w:val="xl30"/>
    <w:basedOn w:val="Normal"/>
    <w:uiPriority w:val="99"/>
    <w:rsid w:val="0065717F"/>
    <w:pPr>
      <w:pBdr>
        <w:top w:val="single" w:sz="4" w:space="0" w:color="auto"/>
      </w:pBdr>
      <w:spacing w:before="100" w:beforeAutospacing="1" w:after="100" w:afterAutospacing="1"/>
      <w:jc w:val="center"/>
    </w:pPr>
    <w:rPr>
      <w:rFonts w:ascii="Verdana" w:hAnsi="Verdana" w:cs="Verdana"/>
      <w:b/>
      <w:bCs/>
      <w:sz w:val="16"/>
      <w:szCs w:val="16"/>
    </w:rPr>
  </w:style>
  <w:style w:type="paragraph" w:customStyle="1" w:styleId="xl31">
    <w:name w:val="xl31"/>
    <w:basedOn w:val="Normal"/>
    <w:uiPriority w:val="99"/>
    <w:rsid w:val="0065717F"/>
    <w:pPr>
      <w:pBdr>
        <w:bottom w:val="single" w:sz="4" w:space="0" w:color="auto"/>
      </w:pBdr>
      <w:spacing w:before="100" w:beforeAutospacing="1" w:after="100" w:afterAutospacing="1"/>
    </w:pPr>
    <w:rPr>
      <w:rFonts w:ascii="Verdana" w:hAnsi="Verdana" w:cs="Verdana"/>
      <w:sz w:val="16"/>
      <w:szCs w:val="16"/>
    </w:rPr>
  </w:style>
  <w:style w:type="paragraph" w:customStyle="1" w:styleId="xl32">
    <w:name w:val="xl32"/>
    <w:basedOn w:val="Normal"/>
    <w:uiPriority w:val="99"/>
    <w:rsid w:val="0065717F"/>
    <w:pPr>
      <w:pBdr>
        <w:bottom w:val="single" w:sz="4" w:space="0" w:color="auto"/>
      </w:pBdr>
      <w:spacing w:before="100" w:beforeAutospacing="1" w:after="100" w:afterAutospacing="1"/>
      <w:jc w:val="center"/>
    </w:pPr>
    <w:rPr>
      <w:rFonts w:ascii="Verdana" w:hAnsi="Verdana" w:cs="Verdana"/>
      <w:sz w:val="16"/>
      <w:szCs w:val="16"/>
    </w:rPr>
  </w:style>
  <w:style w:type="paragraph" w:customStyle="1" w:styleId="xl33">
    <w:name w:val="xl33"/>
    <w:basedOn w:val="Normal"/>
    <w:uiPriority w:val="99"/>
    <w:rsid w:val="0065717F"/>
    <w:pPr>
      <w:pBdr>
        <w:bottom w:val="single" w:sz="4" w:space="0" w:color="auto"/>
      </w:pBdr>
      <w:spacing w:before="100" w:beforeAutospacing="1" w:after="100" w:afterAutospacing="1"/>
      <w:jc w:val="center"/>
    </w:pPr>
    <w:rPr>
      <w:rFonts w:ascii="Verdana" w:hAnsi="Verdana" w:cs="Verdana"/>
      <w:b/>
      <w:bCs/>
      <w:sz w:val="16"/>
      <w:szCs w:val="16"/>
    </w:rPr>
  </w:style>
  <w:style w:type="paragraph" w:customStyle="1" w:styleId="xl34">
    <w:name w:val="xl34"/>
    <w:basedOn w:val="Normal"/>
    <w:uiPriority w:val="99"/>
    <w:rsid w:val="0065717F"/>
    <w:pPr>
      <w:pBdr>
        <w:bottom w:val="single" w:sz="4" w:space="0" w:color="auto"/>
      </w:pBdr>
      <w:spacing w:before="100" w:beforeAutospacing="1" w:after="100" w:afterAutospacing="1"/>
      <w:jc w:val="center"/>
    </w:pPr>
    <w:rPr>
      <w:rFonts w:ascii="Verdana" w:hAnsi="Verdana" w:cs="Verdana"/>
      <w:sz w:val="16"/>
      <w:szCs w:val="16"/>
    </w:rPr>
  </w:style>
  <w:style w:type="paragraph" w:customStyle="1" w:styleId="xl35">
    <w:name w:val="xl35"/>
    <w:basedOn w:val="Normal"/>
    <w:uiPriority w:val="99"/>
    <w:rsid w:val="0065717F"/>
    <w:pPr>
      <w:pBdr>
        <w:top w:val="single" w:sz="4" w:space="0" w:color="auto"/>
      </w:pBdr>
      <w:spacing w:before="100" w:beforeAutospacing="1" w:after="100" w:afterAutospacing="1"/>
      <w:jc w:val="center"/>
    </w:pPr>
    <w:rPr>
      <w:rFonts w:ascii="Verdana" w:hAnsi="Verdana" w:cs="Verdana"/>
      <w:sz w:val="16"/>
      <w:szCs w:val="16"/>
    </w:rPr>
  </w:style>
  <w:style w:type="paragraph" w:styleId="BlockText">
    <w:name w:val="Block Text"/>
    <w:basedOn w:val="Normal"/>
    <w:uiPriority w:val="99"/>
    <w:semiHidden/>
    <w:rsid w:val="0065717F"/>
    <w:pPr>
      <w:autoSpaceDE w:val="0"/>
      <w:autoSpaceDN w:val="0"/>
      <w:adjustRightInd w:val="0"/>
      <w:ind w:left="567" w:right="565"/>
      <w:jc w:val="both"/>
    </w:pPr>
    <w:rPr>
      <w:rFonts w:ascii="Verdana" w:hAnsi="Verdana" w:cs="Verdana"/>
      <w:sz w:val="20"/>
      <w:szCs w:val="20"/>
    </w:rPr>
  </w:style>
  <w:style w:type="paragraph" w:styleId="BalloonText">
    <w:name w:val="Balloon Text"/>
    <w:basedOn w:val="Normal"/>
    <w:link w:val="BalloonTextChar"/>
    <w:uiPriority w:val="99"/>
    <w:semiHidden/>
    <w:rsid w:val="0065717F"/>
    <w:rPr>
      <w:rFonts w:ascii="Tahoma" w:hAnsi="Tahoma" w:cs="Tahoma"/>
      <w:sz w:val="16"/>
      <w:szCs w:val="16"/>
    </w:rPr>
  </w:style>
  <w:style w:type="character" w:customStyle="1" w:styleId="BalloonTextChar">
    <w:name w:val="Balloon Text Char"/>
    <w:basedOn w:val="DefaultParagraphFont"/>
    <w:link w:val="BalloonText"/>
    <w:uiPriority w:val="99"/>
    <w:semiHidden/>
    <w:rsid w:val="00C211F4"/>
    <w:rPr>
      <w:rFonts w:ascii="Times New Roman" w:hAnsi="Times New Roman"/>
      <w:sz w:val="0"/>
      <w:szCs w:val="0"/>
    </w:rPr>
  </w:style>
  <w:style w:type="character" w:customStyle="1" w:styleId="TestofumettoCarattere">
    <w:name w:val="Testo fumetto Carattere"/>
    <w:uiPriority w:val="99"/>
    <w:semiHidden/>
    <w:rsid w:val="006571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72912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0" Type="http://schemas.openxmlformats.org/officeDocument/2006/relationships/hyperlink" Target="http://www.confcommercio.it/documents/10180/4298586/Nota+metodologica+ICET.pdf/64624317-acb5-4bb8-b17b-e4a8a382fa6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4</Pages>
  <Words>898</Words>
  <Characters>5121</Characters>
  <Application>Microsoft Office Outlook</Application>
  <DocSecurity>0</DocSecurity>
  <Lines>0</Lines>
  <Paragraphs>0</Paragraphs>
  <ScaleCrop>false</ScaleCrop>
  <Company>CONFCOMMERCIO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DIREZIONE COMUNICAZIONE E IMMAGINE</dc:title>
  <dc:subject/>
  <dc:creator>AREA COM. IMMAGINE</dc:creator>
  <cp:keywords/>
  <dc:description/>
  <cp:lastModifiedBy>dieci</cp:lastModifiedBy>
  <cp:revision>3</cp:revision>
  <cp:lastPrinted>2014-10-10T09:37:00Z</cp:lastPrinted>
  <dcterms:created xsi:type="dcterms:W3CDTF">2014-10-20T09:51:00Z</dcterms:created>
  <dcterms:modified xsi:type="dcterms:W3CDTF">2014-10-20T09:52:00Z</dcterms:modified>
</cp:coreProperties>
</file>