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95E" w:rsidRDefault="00AE595E">
      <w:pPr>
        <w:jc w:val="right"/>
        <w:rPr>
          <w:rFonts w:ascii="Verdana" w:hAnsi="Verdana" w:cs="Verdana"/>
          <w:b/>
          <w:bCs/>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 o:spid="_x0000_s1026" type="#_x0000_t75" style="position:absolute;left:0;text-align:left;margin-left:11.75pt;margin-top:-32.2pt;width:189pt;height:83.9pt;z-index:251658240;visibility:visible">
            <v:imagedata r:id="rId7" o:title=""/>
            <w10:wrap type="topAndBottom"/>
          </v:shape>
        </w:pict>
      </w:r>
      <w:r>
        <w:rPr>
          <w:rFonts w:ascii="Verdana" w:hAnsi="Verdana" w:cs="Verdana"/>
          <w:b/>
          <w:bCs/>
          <w:sz w:val="20"/>
          <w:szCs w:val="20"/>
        </w:rPr>
        <w:t>DIREZIONE COMUNICAZIONE E IMMAGINE</w:t>
      </w:r>
    </w:p>
    <w:p w:rsidR="00AE595E" w:rsidRDefault="00AE595E">
      <w:pPr>
        <w:jc w:val="right"/>
        <w:rPr>
          <w:rFonts w:ascii="Verdana" w:hAnsi="Verdana" w:cs="Verdana"/>
          <w:sz w:val="22"/>
          <w:szCs w:val="22"/>
        </w:rPr>
      </w:pP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t>UFFICIO STAMPA</w:t>
      </w:r>
    </w:p>
    <w:p w:rsidR="00AE595E" w:rsidRDefault="00AE595E">
      <w:pPr>
        <w:jc w:val="right"/>
        <w:rPr>
          <w:rFonts w:ascii="Verdana" w:hAnsi="Verdana" w:cs="Verdana"/>
          <w:sz w:val="20"/>
          <w:szCs w:val="20"/>
        </w:rPr>
      </w:pPr>
    </w:p>
    <w:p w:rsidR="00AE595E" w:rsidRDefault="00AE595E">
      <w:pPr>
        <w:jc w:val="right"/>
        <w:rPr>
          <w:rFonts w:ascii="Verdana" w:hAnsi="Verdana" w:cs="Verdana"/>
          <w:sz w:val="20"/>
          <w:szCs w:val="20"/>
        </w:rPr>
      </w:pPr>
    </w:p>
    <w:p w:rsidR="00AE595E" w:rsidRDefault="00AE595E">
      <w:pPr>
        <w:ind w:firstLine="708"/>
        <w:jc w:val="both"/>
        <w:rPr>
          <w:rFonts w:ascii="Verdana" w:hAnsi="Verdana" w:cs="Verdana"/>
          <w:sz w:val="20"/>
          <w:szCs w:val="20"/>
        </w:rPr>
      </w:pPr>
      <w:r>
        <w:rPr>
          <w:rFonts w:ascii="Verdana" w:hAnsi="Verdana" w:cs="Verdana"/>
          <w:sz w:val="20"/>
          <w:szCs w:val="20"/>
        </w:rPr>
        <w:t>32</w:t>
      </w:r>
      <w:bookmarkStart w:id="0" w:name="_GoBack"/>
      <w:bookmarkEnd w:id="0"/>
      <w:r>
        <w:rPr>
          <w:rFonts w:ascii="Verdana" w:hAnsi="Verdana" w:cs="Verdana"/>
          <w:sz w:val="20"/>
          <w:szCs w:val="20"/>
        </w:rPr>
        <w:t>/13</w:t>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t>Roma, 16.3.2013</w:t>
      </w:r>
    </w:p>
    <w:p w:rsidR="00AE595E" w:rsidRDefault="00AE595E">
      <w:pPr>
        <w:pStyle w:val="BodyText2"/>
        <w:rPr>
          <w:rFonts w:ascii="Verdana" w:hAnsi="Verdana" w:cs="Verdana"/>
          <w:b w:val="0"/>
          <w:bCs w:val="0"/>
          <w:sz w:val="20"/>
          <w:szCs w:val="20"/>
        </w:rPr>
      </w:pPr>
    </w:p>
    <w:p w:rsidR="00AE595E" w:rsidRPr="003C26C0" w:rsidRDefault="00AE595E">
      <w:pPr>
        <w:pStyle w:val="BodyText2"/>
        <w:rPr>
          <w:rFonts w:ascii="Verdana" w:hAnsi="Verdana" w:cs="Verdana"/>
          <w:b w:val="0"/>
          <w:bCs w:val="0"/>
          <w:sz w:val="20"/>
          <w:szCs w:val="20"/>
        </w:rPr>
      </w:pPr>
    </w:p>
    <w:p w:rsidR="00AE595E" w:rsidRPr="0004033D" w:rsidRDefault="00AE595E" w:rsidP="00904182">
      <w:pPr>
        <w:pStyle w:val="Heading2"/>
        <w:rPr>
          <w:rFonts w:ascii="Verdana" w:hAnsi="Verdana"/>
        </w:rPr>
      </w:pPr>
      <w:r>
        <w:rPr>
          <w:rFonts w:ascii="Verdana" w:hAnsi="Verdana"/>
        </w:rPr>
        <w:t>Ma 4 imprese su 10 non ottengono il finanziamento richiesto</w:t>
      </w:r>
    </w:p>
    <w:p w:rsidR="00AE595E" w:rsidRDefault="00AE595E" w:rsidP="00904182">
      <w:pPr>
        <w:jc w:val="center"/>
        <w:rPr>
          <w:rFonts w:ascii="Verdana" w:hAnsi="Verdana" w:cs="Verdana"/>
          <w:u w:val="single"/>
        </w:rPr>
      </w:pPr>
    </w:p>
    <w:p w:rsidR="00AE595E" w:rsidRDefault="00AE595E" w:rsidP="00904182">
      <w:pPr>
        <w:pStyle w:val="BodyText2"/>
        <w:rPr>
          <w:rFonts w:ascii="Verdana" w:hAnsi="Verdana" w:cs="Verdana"/>
          <w:sz w:val="25"/>
          <w:szCs w:val="25"/>
        </w:rPr>
      </w:pPr>
      <w:r>
        <w:rPr>
          <w:rFonts w:ascii="Verdana" w:hAnsi="Verdana" w:cs="Verdana"/>
          <w:sz w:val="25"/>
          <w:szCs w:val="25"/>
        </w:rPr>
        <w:t>OSSERVATORIO CREDITO IV TRIMESTRE 2012: IL 70% DELLE IMPRESE CHE VANNO IN BANCA HA PROBLEMI DI LIQUIDITA’</w:t>
      </w:r>
    </w:p>
    <w:p w:rsidR="00AE595E" w:rsidRDefault="00AE595E" w:rsidP="00904182">
      <w:pPr>
        <w:pStyle w:val="BodyText2"/>
        <w:rPr>
          <w:rFonts w:ascii="Verdana" w:hAnsi="Verdana" w:cs="Verdana"/>
          <w:sz w:val="25"/>
          <w:szCs w:val="25"/>
        </w:rPr>
      </w:pPr>
    </w:p>
    <w:p w:rsidR="00AE595E" w:rsidRDefault="00AE595E" w:rsidP="00904182">
      <w:pPr>
        <w:jc w:val="both"/>
        <w:rPr>
          <w:rFonts w:ascii="Verdana" w:hAnsi="Verdana" w:cs="Verdana"/>
          <w:sz w:val="22"/>
          <w:szCs w:val="22"/>
        </w:rPr>
      </w:pPr>
    </w:p>
    <w:p w:rsidR="00AE595E" w:rsidRDefault="00AE595E" w:rsidP="00904182">
      <w:pPr>
        <w:jc w:val="both"/>
        <w:rPr>
          <w:rFonts w:ascii="Verdana" w:hAnsi="Verdana" w:cs="Verdana"/>
          <w:sz w:val="22"/>
          <w:szCs w:val="22"/>
        </w:rPr>
      </w:pPr>
    </w:p>
    <w:p w:rsidR="00AE595E" w:rsidRDefault="00AE595E" w:rsidP="00904182">
      <w:pPr>
        <w:jc w:val="both"/>
        <w:rPr>
          <w:rFonts w:ascii="Verdana" w:hAnsi="Verdana" w:cs="Verdana"/>
          <w:sz w:val="22"/>
          <w:szCs w:val="22"/>
        </w:rPr>
      </w:pPr>
    </w:p>
    <w:p w:rsidR="00AE595E" w:rsidRPr="006B0E82" w:rsidRDefault="00AE595E" w:rsidP="00904182">
      <w:pPr>
        <w:jc w:val="both"/>
        <w:rPr>
          <w:rFonts w:ascii="Verdana" w:hAnsi="Verdana" w:cs="Verdana"/>
          <w:b/>
          <w:bCs/>
          <w:sz w:val="24"/>
          <w:szCs w:val="24"/>
        </w:rPr>
      </w:pPr>
      <w:r w:rsidRPr="006B0E82">
        <w:rPr>
          <w:rFonts w:ascii="Verdana" w:hAnsi="Verdana" w:cs="Verdana"/>
          <w:b/>
          <w:bCs/>
          <w:sz w:val="24"/>
          <w:szCs w:val="24"/>
        </w:rPr>
        <w:t xml:space="preserve">Sono sempre meno le imprese che si rivolgono alle banche per chiedere un finanziamento (sono il 14% contro il 15,7% del trimestre precedente) e, </w:t>
      </w:r>
      <w:r>
        <w:rPr>
          <w:rFonts w:ascii="Verdana" w:hAnsi="Verdana" w:cs="Verdana"/>
          <w:b/>
          <w:bCs/>
          <w:sz w:val="24"/>
          <w:szCs w:val="24"/>
        </w:rPr>
        <w:t>tra</w:t>
      </w:r>
      <w:r w:rsidRPr="006B0E82">
        <w:rPr>
          <w:rFonts w:ascii="Verdana" w:hAnsi="Verdana" w:cs="Verdana"/>
          <w:b/>
          <w:bCs/>
          <w:sz w:val="24"/>
          <w:szCs w:val="24"/>
        </w:rPr>
        <w:t xml:space="preserve"> queste, </w:t>
      </w:r>
      <w:r>
        <w:rPr>
          <w:rFonts w:ascii="Verdana" w:hAnsi="Verdana" w:cs="Verdana"/>
          <w:b/>
          <w:bCs/>
          <w:sz w:val="24"/>
          <w:szCs w:val="24"/>
        </w:rPr>
        <w:t>aumentano</w:t>
      </w:r>
      <w:r w:rsidRPr="006B0E82">
        <w:rPr>
          <w:rFonts w:ascii="Verdana" w:hAnsi="Verdana" w:cs="Verdana"/>
          <w:b/>
          <w:bCs/>
          <w:sz w:val="24"/>
          <w:szCs w:val="24"/>
        </w:rPr>
        <w:t xml:space="preserve"> le imprese che si sono viste rifiutare il credito o che lo hanno ottenuto per un ammontare inferiore alla richiesta (dal 35,4% a quasi il 40%) </w:t>
      </w:r>
      <w:r>
        <w:rPr>
          <w:rFonts w:ascii="Verdana" w:hAnsi="Verdana" w:cs="Verdana"/>
          <w:b/>
          <w:bCs/>
          <w:sz w:val="24"/>
          <w:szCs w:val="24"/>
        </w:rPr>
        <w:t>mentre diminuiscono quelle</w:t>
      </w:r>
      <w:r w:rsidRPr="006B0E82">
        <w:rPr>
          <w:rFonts w:ascii="Verdana" w:hAnsi="Verdana" w:cs="Verdana"/>
          <w:b/>
          <w:bCs/>
          <w:sz w:val="24"/>
          <w:szCs w:val="24"/>
        </w:rPr>
        <w:t xml:space="preserve"> che, invece, si sono viste accordare il credito richiesto (dal 31,5% al 30%); fenomeno questo che si associa al permanere della difficoltà delle imprese di far fronte al proprio fabbisogno finanziario e che, per la prima volta dall’inizio della crisi nel 2008, ha colpito anche le imprese del Nord-Est; per quanto riguarda le motivazioni alla base delle richieste di finanziamento, prevalgono largamente le difficoltà di liquidità o di cassa (per il 70% delle imprese), mentre la necessità di effettuare nuovi investimenti ha riguardato solo il 20% delle imprese; risultano, infine, in peggioramento tutti gli indicatori relativi all’offerta del credito, dai tassi di interesse al costo dei servizi bancari, dalla durata del credito alle altre condizioni e garanzie richieste.</w:t>
      </w:r>
    </w:p>
    <w:p w:rsidR="00AE595E" w:rsidRPr="006B0E82" w:rsidRDefault="00AE595E" w:rsidP="00904182">
      <w:pPr>
        <w:jc w:val="both"/>
        <w:rPr>
          <w:rFonts w:ascii="Verdana" w:hAnsi="Verdana" w:cs="Verdana"/>
          <w:b/>
          <w:bCs/>
          <w:sz w:val="24"/>
          <w:szCs w:val="24"/>
        </w:rPr>
      </w:pPr>
      <w:r w:rsidRPr="006B0E82">
        <w:rPr>
          <w:rFonts w:ascii="Verdana" w:hAnsi="Verdana" w:cs="Verdana"/>
          <w:b/>
          <w:bCs/>
          <w:sz w:val="24"/>
          <w:szCs w:val="24"/>
        </w:rPr>
        <w:t>Insomma, il quadro che emerge dalla rilevazione effettuata nell’ultimo quarto del 2012 appare del tutto coerente con la stretta del credito che attanaglia sempre di più le imprese</w:t>
      </w:r>
      <w:r>
        <w:rPr>
          <w:rFonts w:ascii="Verdana" w:hAnsi="Verdana" w:cs="Verdana"/>
          <w:b/>
          <w:bCs/>
          <w:sz w:val="24"/>
          <w:szCs w:val="24"/>
        </w:rPr>
        <w:t xml:space="preserve"> </w:t>
      </w:r>
      <w:r w:rsidRPr="006B0E82">
        <w:rPr>
          <w:rFonts w:ascii="Verdana" w:hAnsi="Verdana" w:cs="Verdana"/>
          <w:b/>
          <w:bCs/>
          <w:sz w:val="24"/>
          <w:szCs w:val="24"/>
        </w:rPr>
        <w:t xml:space="preserve">del terziario e dei servizi di mercato, in particolare quelle di minori dimensioni e quelle del Centro-Sud, evidenziando come, anche per il 2013, il tema dell’accesso al credito per </w:t>
      </w:r>
      <w:r>
        <w:rPr>
          <w:rFonts w:ascii="Verdana" w:hAnsi="Verdana" w:cs="Verdana"/>
          <w:b/>
          <w:bCs/>
          <w:sz w:val="24"/>
          <w:szCs w:val="24"/>
        </w:rPr>
        <w:t>questo</w:t>
      </w:r>
      <w:r w:rsidRPr="006B0E82">
        <w:rPr>
          <w:rFonts w:ascii="Verdana" w:hAnsi="Verdana" w:cs="Verdana"/>
          <w:b/>
          <w:bCs/>
          <w:sz w:val="24"/>
          <w:szCs w:val="24"/>
        </w:rPr>
        <w:t xml:space="preserve"> sistema d</w:t>
      </w:r>
      <w:r>
        <w:rPr>
          <w:rFonts w:ascii="Verdana" w:hAnsi="Verdana" w:cs="Verdana"/>
          <w:b/>
          <w:bCs/>
          <w:sz w:val="24"/>
          <w:szCs w:val="24"/>
        </w:rPr>
        <w:t>i</w:t>
      </w:r>
      <w:r w:rsidRPr="006B0E82">
        <w:rPr>
          <w:rFonts w:ascii="Verdana" w:hAnsi="Verdana" w:cs="Verdana"/>
          <w:b/>
          <w:bCs/>
          <w:sz w:val="24"/>
          <w:szCs w:val="24"/>
        </w:rPr>
        <w:t xml:space="preserve"> imprese si confermi come una delle priorità per il prossimo governo da affrontare e risolvere con urgenza.</w:t>
      </w:r>
    </w:p>
    <w:p w:rsidR="00AE595E" w:rsidRPr="006B0E82" w:rsidRDefault="00AE595E" w:rsidP="00904182">
      <w:pPr>
        <w:jc w:val="both"/>
        <w:rPr>
          <w:rFonts w:ascii="Verdana" w:hAnsi="Verdana" w:cs="Verdana"/>
          <w:strike/>
          <w:sz w:val="24"/>
          <w:szCs w:val="24"/>
        </w:rPr>
      </w:pPr>
    </w:p>
    <w:p w:rsidR="00AE595E" w:rsidRPr="006B0E82" w:rsidRDefault="00AE595E" w:rsidP="00904182">
      <w:pPr>
        <w:pStyle w:val="BodyText"/>
        <w:rPr>
          <w:rFonts w:ascii="Verdana" w:hAnsi="Verdana" w:cs="Verdana"/>
          <w:sz w:val="24"/>
          <w:szCs w:val="24"/>
        </w:rPr>
      </w:pPr>
      <w:r w:rsidRPr="006B0E82">
        <w:rPr>
          <w:rFonts w:ascii="Verdana" w:hAnsi="Verdana" w:cs="Verdana"/>
          <w:sz w:val="24"/>
          <w:szCs w:val="24"/>
        </w:rPr>
        <w:t>Questi, in sintesi, i principali risultati che emergono dall’Osservatorio sul credito per le imprese del commercio, del turismo e dei servizi nel quarto trimestre del 2012 realizzato da Confcommercio-Imprese per l’Italia in collaborazione con Format Ricerche.</w:t>
      </w:r>
    </w:p>
    <w:p w:rsidR="00AE595E" w:rsidRDefault="00AE595E" w:rsidP="003C26C0">
      <w:pPr>
        <w:pStyle w:val="BodyText2"/>
        <w:rPr>
          <w:rFonts w:ascii="Verdana" w:hAnsi="Verdana" w:cs="Verdana"/>
          <w:b w:val="0"/>
          <w:bCs w:val="0"/>
          <w:sz w:val="20"/>
          <w:szCs w:val="20"/>
        </w:rPr>
      </w:pPr>
    </w:p>
    <w:p w:rsidR="00AE595E" w:rsidRPr="003C26C0" w:rsidRDefault="00AE595E" w:rsidP="003C26C0">
      <w:pPr>
        <w:pStyle w:val="BodyText2"/>
        <w:rPr>
          <w:rFonts w:ascii="Verdana" w:hAnsi="Verdana" w:cs="Verdana"/>
          <w:b w:val="0"/>
          <w:bCs w:val="0"/>
          <w:sz w:val="20"/>
          <w:szCs w:val="20"/>
        </w:rPr>
      </w:pPr>
    </w:p>
    <w:p w:rsidR="00AE595E" w:rsidRPr="003C26C0" w:rsidRDefault="00AE595E" w:rsidP="003C26C0">
      <w:pPr>
        <w:pStyle w:val="BodyText"/>
        <w:autoSpaceDE w:val="0"/>
        <w:autoSpaceDN w:val="0"/>
        <w:adjustRightInd w:val="0"/>
        <w:rPr>
          <w:rFonts w:ascii="Verdana" w:hAnsi="Verdana" w:cs="Verdana"/>
        </w:rPr>
      </w:pPr>
    </w:p>
    <w:p w:rsidR="00AE595E" w:rsidRPr="0002768B" w:rsidRDefault="00AE595E" w:rsidP="00F20A55">
      <w:pPr>
        <w:jc w:val="center"/>
        <w:rPr>
          <w:rFonts w:ascii="Verdana" w:hAnsi="Verdana" w:cs="Verdana"/>
          <w:b/>
          <w:bCs/>
          <w:sz w:val="16"/>
          <w:szCs w:val="16"/>
        </w:rPr>
      </w:pPr>
      <w:r w:rsidRPr="0002768B">
        <w:rPr>
          <w:rFonts w:ascii="Verdana" w:hAnsi="Verdana" w:cs="Verdana"/>
          <w:b/>
          <w:bCs/>
          <w:sz w:val="16"/>
          <w:szCs w:val="16"/>
        </w:rPr>
        <w:t xml:space="preserve">Seguici su Facebook: </w:t>
      </w:r>
      <w:hyperlink r:id="rId8" w:history="1">
        <w:r w:rsidRPr="0002768B">
          <w:rPr>
            <w:rStyle w:val="Hyperlink"/>
            <w:rFonts w:ascii="Verdana" w:hAnsi="Verdana" w:cs="Verdana"/>
            <w:b/>
            <w:bCs/>
            <w:sz w:val="16"/>
            <w:szCs w:val="16"/>
          </w:rPr>
          <w:t>www.facebook.it/confcommercio</w:t>
        </w:r>
      </w:hyperlink>
      <w:r w:rsidRPr="0002768B">
        <w:rPr>
          <w:rFonts w:ascii="Verdana" w:hAnsi="Verdana" w:cs="Verdana"/>
          <w:b/>
          <w:bCs/>
          <w:sz w:val="16"/>
          <w:szCs w:val="16"/>
        </w:rPr>
        <w:t xml:space="preserve"> e su Twitter: </w:t>
      </w:r>
      <w:hyperlink r:id="rId9" w:history="1">
        <w:r w:rsidRPr="0002768B">
          <w:rPr>
            <w:rStyle w:val="Hyperlink"/>
            <w:rFonts w:ascii="Verdana" w:hAnsi="Verdana" w:cs="Verdana"/>
            <w:b/>
            <w:bCs/>
            <w:sz w:val="16"/>
            <w:szCs w:val="16"/>
          </w:rPr>
          <w:t>http://twitter.com/Confcommercio</w:t>
        </w:r>
      </w:hyperlink>
    </w:p>
    <w:p w:rsidR="00AE595E" w:rsidRDefault="00AE595E" w:rsidP="00F20A55">
      <w:pPr>
        <w:jc w:val="center"/>
        <w:rPr>
          <w:rFonts w:ascii="Verdana" w:hAnsi="Verdana" w:cs="Verdana"/>
          <w:sz w:val="16"/>
          <w:szCs w:val="16"/>
        </w:rPr>
      </w:pPr>
      <w:r>
        <w:rPr>
          <w:rFonts w:ascii="Verdana" w:hAnsi="Verdana" w:cs="Verdana"/>
          <w:sz w:val="16"/>
          <w:szCs w:val="16"/>
        </w:rPr>
        <w:t>Questo documento è presente sul sito di Confcommercio all’indirizzo http://www.confcommercio.it/sala-stampa</w:t>
      </w:r>
    </w:p>
    <w:p w:rsidR="00AE595E" w:rsidRDefault="00AE595E" w:rsidP="00F20A55">
      <w:pPr>
        <w:pStyle w:val="Footer"/>
        <w:jc w:val="center"/>
        <w:rPr>
          <w:sz w:val="16"/>
          <w:szCs w:val="16"/>
        </w:rPr>
      </w:pPr>
      <w:r>
        <w:rPr>
          <w:sz w:val="16"/>
          <w:szCs w:val="16"/>
        </w:rPr>
        <w:t>00153 Roma – Piazza G.G.Belli 2, telefono 06.5866228/299 fax 06.5812880, e-mail: stampa@confcommercio.it</w:t>
      </w:r>
    </w:p>
    <w:p w:rsidR="00AE595E" w:rsidRDefault="00AE595E" w:rsidP="00F3572B">
      <w:pPr>
        <w:pStyle w:val="BodyText"/>
        <w:autoSpaceDE w:val="0"/>
        <w:autoSpaceDN w:val="0"/>
        <w:adjustRightInd w:val="0"/>
        <w:rPr>
          <w:rFonts w:ascii="Verdana" w:hAnsi="Verdana" w:cs="Verdana"/>
          <w:sz w:val="20"/>
          <w:szCs w:val="20"/>
        </w:rPr>
      </w:pPr>
    </w:p>
    <w:p w:rsidR="00AE595E" w:rsidRDefault="00AE595E" w:rsidP="00C630A1">
      <w:pPr>
        <w:pStyle w:val="BodyText"/>
        <w:autoSpaceDE w:val="0"/>
        <w:autoSpaceDN w:val="0"/>
        <w:adjustRightInd w:val="0"/>
        <w:rPr>
          <w:rFonts w:ascii="Verdana" w:hAnsi="Verdana" w:cs="Verdana"/>
          <w:b/>
          <w:bCs/>
          <w:sz w:val="24"/>
          <w:szCs w:val="24"/>
        </w:rPr>
      </w:pPr>
    </w:p>
    <w:p w:rsidR="00AE595E" w:rsidRPr="006B0E82" w:rsidRDefault="00AE595E" w:rsidP="00C630A1">
      <w:pPr>
        <w:pStyle w:val="BodyText"/>
        <w:autoSpaceDE w:val="0"/>
        <w:autoSpaceDN w:val="0"/>
        <w:adjustRightInd w:val="0"/>
        <w:rPr>
          <w:rFonts w:ascii="Verdana" w:hAnsi="Verdana" w:cs="Verdana"/>
          <w:b/>
          <w:bCs/>
          <w:sz w:val="24"/>
          <w:szCs w:val="24"/>
        </w:rPr>
      </w:pPr>
      <w:r w:rsidRPr="006B0E82">
        <w:rPr>
          <w:rFonts w:ascii="Verdana" w:hAnsi="Verdana" w:cs="Verdana"/>
          <w:b/>
          <w:bCs/>
          <w:sz w:val="24"/>
          <w:szCs w:val="24"/>
        </w:rPr>
        <w:t>Fabbisogno finanziario</w:t>
      </w:r>
    </w:p>
    <w:p w:rsidR="00AE595E" w:rsidRPr="006B0E82" w:rsidRDefault="00AE595E" w:rsidP="00C630A1">
      <w:pPr>
        <w:autoSpaceDE w:val="0"/>
        <w:autoSpaceDN w:val="0"/>
        <w:adjustRightInd w:val="0"/>
        <w:jc w:val="both"/>
        <w:rPr>
          <w:rFonts w:ascii="Verdana" w:hAnsi="Verdana" w:cs="Verdana"/>
          <w:sz w:val="24"/>
          <w:szCs w:val="24"/>
        </w:rPr>
      </w:pPr>
      <w:r w:rsidRPr="006B0E82">
        <w:rPr>
          <w:rFonts w:ascii="Verdana" w:hAnsi="Verdana" w:cs="Verdana"/>
          <w:sz w:val="24"/>
          <w:szCs w:val="24"/>
        </w:rPr>
        <w:t>Il dato rilevato nell’ultimo trimestre 2012 relativo alle imprese che sono riuscite a far fronte ai propri impegni finanziari, si attesta sugli stessi valori del trimestre precedente, arrestando un declino che era iniziato nel 2011, ma con una prevalenza di casi di difficoltà ancora una volta fra le imprese più piccole. In prospettiva, prevalgono le imprese che ritengono la loro situazione finanziaria stabile e solo quelle della classe 1-9 addetti (le micro imprese) formulano previsioni di peggioramento per il primo trimestre 2013.</w:t>
      </w:r>
    </w:p>
    <w:p w:rsidR="00AE595E" w:rsidRPr="006B0E82" w:rsidRDefault="00AE595E" w:rsidP="00C630A1">
      <w:pPr>
        <w:autoSpaceDE w:val="0"/>
        <w:autoSpaceDN w:val="0"/>
        <w:adjustRightInd w:val="0"/>
        <w:jc w:val="both"/>
        <w:rPr>
          <w:rFonts w:ascii="Verdana" w:hAnsi="Verdana" w:cs="Verdana"/>
          <w:sz w:val="24"/>
          <w:szCs w:val="24"/>
        </w:rPr>
      </w:pPr>
      <w:r w:rsidRPr="006B0E82">
        <w:rPr>
          <w:rFonts w:ascii="Verdana" w:hAnsi="Verdana" w:cs="Verdana"/>
          <w:sz w:val="24"/>
          <w:szCs w:val="24"/>
        </w:rPr>
        <w:t>Rimane sostanzialmente stabile, infatti, sia la percentuale delle imprese che sono riuscite a far fronte al proprio fabbisogno finanziario senza difficoltà (30,6% rispetto al 30,8% del trimestre precedente), sia la quota di imprese che ci sono riuscite seppur con difficoltà (49,5% contro il 49,9%); in aumento, invece, il numero di imprese che non sono riuscite a fronteggiare il proprio fabbisogno (passate dal 19,3% al 19,9%).</w:t>
      </w:r>
    </w:p>
    <w:p w:rsidR="00AE595E" w:rsidRPr="006B0E82" w:rsidRDefault="00AE595E" w:rsidP="00C630A1">
      <w:pPr>
        <w:autoSpaceDE w:val="0"/>
        <w:autoSpaceDN w:val="0"/>
        <w:adjustRightInd w:val="0"/>
        <w:jc w:val="both"/>
        <w:rPr>
          <w:rFonts w:ascii="Verdana" w:hAnsi="Verdana" w:cs="Verdana"/>
          <w:sz w:val="24"/>
          <w:szCs w:val="24"/>
        </w:rPr>
      </w:pPr>
      <w:r w:rsidRPr="006B0E82">
        <w:rPr>
          <w:rFonts w:ascii="Verdana" w:hAnsi="Verdana" w:cs="Verdana"/>
          <w:sz w:val="24"/>
          <w:szCs w:val="24"/>
        </w:rPr>
        <w:t>Fra i tre comparti presi in considerazione, quello dei servizi sembra avere le maggiori difficoltà finanziarie, anche se per l’immediato futuro le previsioni sono allineate a quelle del commercio e del turismo. Si conferma la dicotomia fra il Mezzogiorno e il resto del Paese, con le imprese del Sud più in affanno rispetto a quelle del centro e soprattutto del Nord Italia.</w:t>
      </w:r>
    </w:p>
    <w:p w:rsidR="00AE595E" w:rsidRDefault="00AE595E" w:rsidP="00C630A1">
      <w:pPr>
        <w:autoSpaceDE w:val="0"/>
        <w:autoSpaceDN w:val="0"/>
        <w:adjustRightInd w:val="0"/>
        <w:jc w:val="both"/>
        <w:rPr>
          <w:rFonts w:ascii="Verdana" w:hAnsi="Verdana" w:cs="Verdana"/>
          <w:sz w:val="24"/>
          <w:szCs w:val="24"/>
        </w:rPr>
      </w:pPr>
    </w:p>
    <w:p w:rsidR="00AE595E" w:rsidRPr="006B0E82" w:rsidRDefault="00AE595E" w:rsidP="00C630A1">
      <w:pPr>
        <w:autoSpaceDE w:val="0"/>
        <w:autoSpaceDN w:val="0"/>
        <w:adjustRightInd w:val="0"/>
        <w:jc w:val="both"/>
        <w:rPr>
          <w:rFonts w:ascii="Verdana" w:hAnsi="Verdana" w:cs="Verdana"/>
          <w:sz w:val="24"/>
          <w:szCs w:val="24"/>
        </w:rPr>
      </w:pPr>
    </w:p>
    <w:p w:rsidR="00AE595E" w:rsidRPr="006B0E82" w:rsidRDefault="00AE595E" w:rsidP="00815060">
      <w:pPr>
        <w:pStyle w:val="BodyText"/>
        <w:autoSpaceDE w:val="0"/>
        <w:autoSpaceDN w:val="0"/>
        <w:adjustRightInd w:val="0"/>
        <w:rPr>
          <w:rFonts w:ascii="Verdana" w:hAnsi="Verdana" w:cs="Verdana"/>
          <w:b/>
          <w:bCs/>
          <w:sz w:val="24"/>
          <w:szCs w:val="24"/>
        </w:rPr>
      </w:pPr>
      <w:r w:rsidRPr="006B0E82">
        <w:rPr>
          <w:rFonts w:ascii="Verdana" w:hAnsi="Verdana" w:cs="Verdana"/>
          <w:b/>
          <w:bCs/>
          <w:sz w:val="24"/>
          <w:szCs w:val="24"/>
        </w:rPr>
        <w:t>Domanda e offerta di credito</w:t>
      </w:r>
    </w:p>
    <w:p w:rsidR="00AE595E" w:rsidRPr="006B0E82" w:rsidRDefault="00AE595E" w:rsidP="00815060">
      <w:pPr>
        <w:autoSpaceDE w:val="0"/>
        <w:autoSpaceDN w:val="0"/>
        <w:adjustRightInd w:val="0"/>
        <w:jc w:val="both"/>
        <w:rPr>
          <w:rFonts w:ascii="Verdana" w:hAnsi="Verdana" w:cs="Verdana"/>
          <w:sz w:val="24"/>
          <w:szCs w:val="24"/>
        </w:rPr>
      </w:pPr>
      <w:r w:rsidRPr="006B0E82">
        <w:rPr>
          <w:rFonts w:ascii="Verdana" w:hAnsi="Verdana" w:cs="Verdana"/>
          <w:sz w:val="24"/>
          <w:szCs w:val="24"/>
        </w:rPr>
        <w:t>La percentuale di imprese del terziario che nel quarto trimestre del 2012 si sono rivolte alle banche per chiedere un fido, un finanziamento, o la rinegoziazione di un fido, o di un finanziamento esistente, è risultata più contenuta rispetto a quella rilevata solo tre mesi prima (14% rispetto al 15,7%).</w:t>
      </w:r>
    </w:p>
    <w:p w:rsidR="00AE595E" w:rsidRPr="006B0E82" w:rsidRDefault="00AE595E" w:rsidP="00815060">
      <w:pPr>
        <w:autoSpaceDE w:val="0"/>
        <w:autoSpaceDN w:val="0"/>
        <w:adjustRightInd w:val="0"/>
        <w:jc w:val="both"/>
        <w:rPr>
          <w:rFonts w:ascii="Verdana" w:hAnsi="Verdana" w:cs="Verdana"/>
          <w:sz w:val="24"/>
          <w:szCs w:val="24"/>
        </w:rPr>
      </w:pPr>
      <w:r w:rsidRPr="006B0E82">
        <w:rPr>
          <w:rFonts w:ascii="Verdana" w:hAnsi="Verdana" w:cs="Verdana"/>
          <w:sz w:val="24"/>
          <w:szCs w:val="24"/>
        </w:rPr>
        <w:t>Nell’ambito di quel 14% di imprese che si sono rivolte al sistema bancario per ottenere credito, il 30,2% lo ha ottenuto con un ammontare pari o superiore rispetto a quello richiesto, il 17,2% lo ha ottenuto, ma con un ammontare inferiore rispetto a quello richiesto, il 21,4% ha visto rifiutata la propria domanda di credito, l’11,4% è in attesa di conoscere l’esito della propria richiesta ed il 22,9% ha dichiarato di essere intenzionata a formalizzare istanza di credito alle banche nel prossimo trimestre.</w:t>
      </w:r>
    </w:p>
    <w:p w:rsidR="00AE595E" w:rsidRPr="006B0E82" w:rsidRDefault="00AE595E" w:rsidP="00815060">
      <w:pPr>
        <w:autoSpaceDE w:val="0"/>
        <w:autoSpaceDN w:val="0"/>
        <w:adjustRightInd w:val="0"/>
        <w:jc w:val="both"/>
        <w:rPr>
          <w:rFonts w:ascii="Verdana" w:hAnsi="Verdana" w:cs="Verdana"/>
          <w:sz w:val="24"/>
          <w:szCs w:val="24"/>
        </w:rPr>
      </w:pPr>
      <w:r w:rsidRPr="006B0E82">
        <w:rPr>
          <w:rFonts w:ascii="Verdana" w:hAnsi="Verdana" w:cs="Verdana"/>
          <w:sz w:val="24"/>
          <w:szCs w:val="24"/>
        </w:rPr>
        <w:t>In sostanza, diminuisce significativamente la percentuale delle imprese che ottiene credito dalle banche. Anche nel quarto trimestre 2012, infatti, l’area dell’irrigidimento (ovvero le imprese che hanno visto accordarsi il credito con un ammontare inferiore a quello richiesto sommate alle imprese che non hanno visto accordarselo affatto) pari al 38,6% ha superato l’area di stabilità pari al 30,2% (le imprese che hanno visto accordarsi il credito con un ammontare pari o superiore a quello richiesto) accentuando ulteriormente la divaricazione fra di esse. Da sottolineare il fatto che per la prima volta dall’inizio della crisi nel 2008 ciò avviene anche nelle regioni del Nord Italia, del Nord-Est in particolare.</w:t>
      </w:r>
    </w:p>
    <w:p w:rsidR="00AE595E" w:rsidRDefault="00AE595E" w:rsidP="00DC46C5">
      <w:pPr>
        <w:pStyle w:val="BodyText"/>
        <w:autoSpaceDE w:val="0"/>
        <w:autoSpaceDN w:val="0"/>
        <w:adjustRightInd w:val="0"/>
        <w:rPr>
          <w:rFonts w:ascii="Verdana" w:hAnsi="Verdana" w:cs="Verdana"/>
          <w:b/>
          <w:bCs/>
          <w:sz w:val="24"/>
          <w:szCs w:val="24"/>
        </w:rPr>
      </w:pPr>
    </w:p>
    <w:p w:rsidR="00AE595E" w:rsidRPr="006B0E82" w:rsidRDefault="00AE595E" w:rsidP="00DC46C5">
      <w:pPr>
        <w:pStyle w:val="BodyText"/>
        <w:autoSpaceDE w:val="0"/>
        <w:autoSpaceDN w:val="0"/>
        <w:adjustRightInd w:val="0"/>
        <w:rPr>
          <w:rFonts w:ascii="Verdana" w:hAnsi="Verdana" w:cs="Verdana"/>
          <w:b/>
          <w:bCs/>
          <w:sz w:val="24"/>
          <w:szCs w:val="24"/>
        </w:rPr>
      </w:pPr>
    </w:p>
    <w:p w:rsidR="00AE595E" w:rsidRPr="006B0E82" w:rsidRDefault="00AE595E" w:rsidP="00DC46C5">
      <w:pPr>
        <w:pStyle w:val="BodyText"/>
        <w:autoSpaceDE w:val="0"/>
        <w:autoSpaceDN w:val="0"/>
        <w:adjustRightInd w:val="0"/>
        <w:rPr>
          <w:rFonts w:ascii="Verdana" w:hAnsi="Verdana" w:cs="Verdana"/>
          <w:b/>
          <w:bCs/>
          <w:sz w:val="24"/>
          <w:szCs w:val="24"/>
        </w:rPr>
      </w:pPr>
      <w:r w:rsidRPr="006B0E82">
        <w:rPr>
          <w:rFonts w:ascii="Verdana" w:hAnsi="Verdana" w:cs="Verdana"/>
          <w:b/>
          <w:bCs/>
          <w:sz w:val="24"/>
          <w:szCs w:val="24"/>
        </w:rPr>
        <w:t>Ragioni delle richieste di finanziamento</w:t>
      </w:r>
    </w:p>
    <w:p w:rsidR="00AE595E" w:rsidRPr="006B0E82" w:rsidRDefault="00AE595E" w:rsidP="00DC46C5">
      <w:pPr>
        <w:autoSpaceDE w:val="0"/>
        <w:autoSpaceDN w:val="0"/>
        <w:adjustRightInd w:val="0"/>
        <w:jc w:val="both"/>
        <w:rPr>
          <w:rFonts w:ascii="Verdana" w:hAnsi="Verdana" w:cs="Verdana"/>
          <w:sz w:val="24"/>
          <w:szCs w:val="24"/>
        </w:rPr>
      </w:pPr>
      <w:r w:rsidRPr="006B0E82">
        <w:rPr>
          <w:rFonts w:ascii="Verdana" w:hAnsi="Verdana" w:cs="Verdana"/>
          <w:sz w:val="24"/>
          <w:szCs w:val="24"/>
        </w:rPr>
        <w:t>In merito alla situazione finanziaria delle imprese del terziario, nell’ambito del 14% delle imprese del terziario che si sono rivolte al sistema bancario per ottenere credito, il 70,7% lo ha fatto per esigenze di liquidità o cassa, mentre solo il 20,7% per effettuare investimenti e l’8,6% per ristrutturare i debiti esistenti.</w:t>
      </w:r>
    </w:p>
    <w:p w:rsidR="00AE595E" w:rsidRDefault="00AE595E" w:rsidP="00DC46C5">
      <w:pPr>
        <w:autoSpaceDE w:val="0"/>
        <w:autoSpaceDN w:val="0"/>
        <w:adjustRightInd w:val="0"/>
        <w:jc w:val="both"/>
        <w:rPr>
          <w:rFonts w:ascii="Verdana" w:hAnsi="Verdana" w:cs="Verdana"/>
          <w:sz w:val="24"/>
          <w:szCs w:val="24"/>
        </w:rPr>
      </w:pPr>
    </w:p>
    <w:p w:rsidR="00AE595E" w:rsidRPr="006B0E82" w:rsidRDefault="00AE595E" w:rsidP="00DC46C5">
      <w:pPr>
        <w:autoSpaceDE w:val="0"/>
        <w:autoSpaceDN w:val="0"/>
        <w:adjustRightInd w:val="0"/>
        <w:jc w:val="both"/>
        <w:rPr>
          <w:rFonts w:ascii="Verdana" w:hAnsi="Verdana" w:cs="Verdana"/>
          <w:sz w:val="24"/>
          <w:szCs w:val="24"/>
        </w:rPr>
      </w:pPr>
    </w:p>
    <w:p w:rsidR="00AE595E" w:rsidRPr="006B0E82" w:rsidRDefault="00AE595E" w:rsidP="00DC46C5">
      <w:pPr>
        <w:autoSpaceDE w:val="0"/>
        <w:autoSpaceDN w:val="0"/>
        <w:adjustRightInd w:val="0"/>
        <w:jc w:val="both"/>
        <w:rPr>
          <w:rFonts w:ascii="Verdana" w:hAnsi="Verdana" w:cs="Verdana"/>
          <w:b/>
          <w:bCs/>
          <w:sz w:val="24"/>
          <w:szCs w:val="24"/>
        </w:rPr>
      </w:pPr>
      <w:r w:rsidRPr="006B0E82">
        <w:rPr>
          <w:rFonts w:ascii="Verdana" w:hAnsi="Verdana" w:cs="Verdana"/>
          <w:b/>
          <w:bCs/>
          <w:sz w:val="24"/>
          <w:szCs w:val="24"/>
        </w:rPr>
        <w:t>Offerta di credito e costo dei servizi finanziari</w:t>
      </w:r>
    </w:p>
    <w:p w:rsidR="00AE595E" w:rsidRDefault="00AE595E" w:rsidP="009C2D1B">
      <w:pPr>
        <w:autoSpaceDE w:val="0"/>
        <w:autoSpaceDN w:val="0"/>
        <w:adjustRightInd w:val="0"/>
        <w:jc w:val="both"/>
        <w:rPr>
          <w:rFonts w:ascii="Verdana" w:hAnsi="Verdana" w:cs="Verdana"/>
          <w:sz w:val="24"/>
          <w:szCs w:val="24"/>
        </w:rPr>
      </w:pPr>
    </w:p>
    <w:p w:rsidR="00AE595E" w:rsidRPr="006B0E82" w:rsidRDefault="00AE595E" w:rsidP="009C2D1B">
      <w:pPr>
        <w:autoSpaceDE w:val="0"/>
        <w:autoSpaceDN w:val="0"/>
        <w:adjustRightInd w:val="0"/>
        <w:jc w:val="both"/>
        <w:rPr>
          <w:rFonts w:ascii="Verdana" w:hAnsi="Verdana" w:cs="Verdana"/>
          <w:sz w:val="24"/>
          <w:szCs w:val="24"/>
        </w:rPr>
      </w:pPr>
      <w:r w:rsidRPr="006B0E82">
        <w:rPr>
          <w:rFonts w:ascii="Verdana" w:hAnsi="Verdana" w:cs="Verdana"/>
          <w:sz w:val="24"/>
          <w:szCs w:val="24"/>
        </w:rPr>
        <w:t>Le condizioni del credito con riferimento ai tassi di interesse applicati dalle banche alle imprese del terziario, nell’ultimo trimestre 2012, sono leggermente peggiorate e ancor di più lo sono per quanto concerne le cosiddette “altre condizioni” (servizi bancari comunque legati ad un servizio di finanziamento, es. messa a disposizione fondi).</w:t>
      </w:r>
    </w:p>
    <w:p w:rsidR="00AE595E" w:rsidRPr="006B0E82" w:rsidRDefault="00AE595E" w:rsidP="009C2D1B">
      <w:pPr>
        <w:autoSpaceDE w:val="0"/>
        <w:autoSpaceDN w:val="0"/>
        <w:adjustRightInd w:val="0"/>
        <w:jc w:val="both"/>
        <w:rPr>
          <w:rFonts w:ascii="Verdana" w:hAnsi="Verdana" w:cs="Verdana"/>
          <w:sz w:val="24"/>
          <w:szCs w:val="24"/>
        </w:rPr>
      </w:pPr>
      <w:r w:rsidRPr="006B0E82">
        <w:rPr>
          <w:rFonts w:ascii="Verdana" w:hAnsi="Verdana" w:cs="Verdana"/>
          <w:sz w:val="24"/>
          <w:szCs w:val="24"/>
        </w:rPr>
        <w:t>Anche la situazione relativa al costo dei servizi bancari nel loro complesso, e quindi al di là del costo del credito in sé stesso, è peggiorata negli ultimi tre mesi del 2012 per un numero maggiore di imprese rispetto al trimestre precedente e sono soprattutto le imprese più piccole quelle più colpite, anche se in generale tutte le imprese hanno avvertito tale aumento di costo. L’aumento del costo dei servizi bancari è stato avvertito in modo particolarmente grave dalle imprese operative nel settore del commercio.</w:t>
      </w:r>
    </w:p>
    <w:p w:rsidR="00AE595E" w:rsidRPr="006B0E82" w:rsidRDefault="00AE595E" w:rsidP="009C2D1B">
      <w:pPr>
        <w:autoSpaceDE w:val="0"/>
        <w:autoSpaceDN w:val="0"/>
        <w:adjustRightInd w:val="0"/>
        <w:jc w:val="both"/>
        <w:rPr>
          <w:rFonts w:ascii="Verdana" w:hAnsi="Verdana" w:cs="Verdana"/>
          <w:sz w:val="24"/>
          <w:szCs w:val="24"/>
        </w:rPr>
      </w:pPr>
      <w:r w:rsidRPr="006B0E82">
        <w:rPr>
          <w:rFonts w:ascii="Verdana" w:hAnsi="Verdana" w:cs="Verdana"/>
          <w:sz w:val="24"/>
          <w:szCs w:val="24"/>
        </w:rPr>
        <w:t xml:space="preserve">Percezione peggiorativa, infine, anche rispetto alle condizioni del credito per “durata” e “garanzie” richieste dalle banche a copertura dei finanziamenti o degli affidamenti concessi. </w:t>
      </w: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Default="00AE595E" w:rsidP="009C2D1B">
      <w:pPr>
        <w:autoSpaceDE w:val="0"/>
        <w:autoSpaceDN w:val="0"/>
        <w:adjustRightInd w:val="0"/>
        <w:jc w:val="both"/>
        <w:rPr>
          <w:rFonts w:ascii="Verdana" w:hAnsi="Verdana" w:cs="Verdana"/>
          <w:sz w:val="20"/>
          <w:szCs w:val="20"/>
        </w:rPr>
      </w:pPr>
    </w:p>
    <w:p w:rsidR="00AE595E" w:rsidRPr="006B0E82" w:rsidRDefault="00AE595E" w:rsidP="009C2D1B">
      <w:pPr>
        <w:autoSpaceDE w:val="0"/>
        <w:autoSpaceDN w:val="0"/>
        <w:adjustRightInd w:val="0"/>
        <w:jc w:val="both"/>
        <w:rPr>
          <w:rFonts w:ascii="Verdana" w:hAnsi="Verdana" w:cs="Verdana"/>
          <w:sz w:val="20"/>
          <w:szCs w:val="20"/>
        </w:rPr>
      </w:pPr>
    </w:p>
    <w:p w:rsidR="00AE595E" w:rsidRPr="006B0E82" w:rsidRDefault="00AE595E" w:rsidP="009C2D1B">
      <w:pPr>
        <w:autoSpaceDE w:val="0"/>
        <w:autoSpaceDN w:val="0"/>
        <w:adjustRightInd w:val="0"/>
        <w:jc w:val="both"/>
        <w:rPr>
          <w:rFonts w:ascii="Verdana" w:hAnsi="Verdana" w:cs="Verdana"/>
          <w:sz w:val="20"/>
          <w:szCs w:val="20"/>
        </w:rPr>
      </w:pPr>
      <w:r w:rsidRPr="006B0E82">
        <w:rPr>
          <w:rFonts w:ascii="Verdana" w:hAnsi="Verdana" w:cs="Verdana"/>
          <w:sz w:val="20"/>
          <w:szCs w:val="20"/>
        </w:rPr>
        <w:t>_____________________</w:t>
      </w:r>
    </w:p>
    <w:p w:rsidR="00AE595E" w:rsidRPr="006B0E82" w:rsidRDefault="00AE595E" w:rsidP="009C2D1B">
      <w:pPr>
        <w:autoSpaceDE w:val="0"/>
        <w:autoSpaceDN w:val="0"/>
        <w:adjustRightInd w:val="0"/>
        <w:jc w:val="both"/>
        <w:rPr>
          <w:rFonts w:ascii="Verdana" w:hAnsi="Verdana" w:cs="Verdana"/>
          <w:sz w:val="20"/>
          <w:szCs w:val="20"/>
        </w:rPr>
      </w:pPr>
    </w:p>
    <w:p w:rsidR="00AE595E" w:rsidRPr="006B0E82" w:rsidRDefault="00AE595E" w:rsidP="006B0E82">
      <w:pPr>
        <w:autoSpaceDE w:val="0"/>
        <w:autoSpaceDN w:val="0"/>
        <w:adjustRightInd w:val="0"/>
        <w:jc w:val="both"/>
        <w:rPr>
          <w:rFonts w:ascii="Verdana" w:hAnsi="Verdana" w:cs="Verdana"/>
          <w:b/>
          <w:bCs/>
          <w:sz w:val="20"/>
          <w:szCs w:val="20"/>
        </w:rPr>
      </w:pPr>
      <w:r w:rsidRPr="006B0E82">
        <w:rPr>
          <w:rFonts w:ascii="Verdana" w:hAnsi="Verdana" w:cs="Verdana"/>
          <w:b/>
          <w:bCs/>
          <w:sz w:val="20"/>
          <w:szCs w:val="20"/>
        </w:rPr>
        <w:t>Nota tecnica</w:t>
      </w:r>
    </w:p>
    <w:p w:rsidR="00AE595E" w:rsidRPr="006B0E82" w:rsidRDefault="00AE595E" w:rsidP="006B0E82">
      <w:pPr>
        <w:autoSpaceDE w:val="0"/>
        <w:autoSpaceDN w:val="0"/>
        <w:adjustRightInd w:val="0"/>
        <w:jc w:val="both"/>
        <w:rPr>
          <w:rFonts w:ascii="Verdana" w:hAnsi="Verdana" w:cs="Verdana"/>
          <w:color w:val="000000"/>
          <w:sz w:val="20"/>
          <w:szCs w:val="20"/>
        </w:rPr>
      </w:pPr>
      <w:r w:rsidRPr="006B0E82">
        <w:rPr>
          <w:rFonts w:ascii="Verdana" w:hAnsi="Verdana" w:cs="Verdana"/>
          <w:color w:val="000000"/>
          <w:sz w:val="20"/>
          <w:szCs w:val="20"/>
        </w:rPr>
        <w:t>Indagine effettuata da Format Research per conto di Confcommercio Imprese per l’Italia. Campione rappresentativo dell’universo delle imprese italiane del commercio, del turismo e dei servizi.</w:t>
      </w:r>
    </w:p>
    <w:p w:rsidR="00AE595E" w:rsidRPr="006B0E82" w:rsidRDefault="00AE595E" w:rsidP="006B0E82">
      <w:pPr>
        <w:autoSpaceDE w:val="0"/>
        <w:autoSpaceDN w:val="0"/>
        <w:adjustRightInd w:val="0"/>
        <w:jc w:val="both"/>
        <w:rPr>
          <w:rFonts w:ascii="Verdana" w:hAnsi="Verdana" w:cs="Verdana"/>
          <w:color w:val="000000"/>
          <w:sz w:val="20"/>
          <w:szCs w:val="20"/>
        </w:rPr>
      </w:pPr>
      <w:r w:rsidRPr="006B0E82">
        <w:rPr>
          <w:rFonts w:ascii="Verdana" w:hAnsi="Verdana" w:cs="Verdana"/>
          <w:color w:val="000000"/>
          <w:sz w:val="20"/>
          <w:szCs w:val="20"/>
        </w:rPr>
        <w:t>Numerosità campionaria complessiva: 1.436 casi. Fonte delle anagrafiche delle imprese: Camere di commercio. Interviste telefoniche somministrate con il Sistema Cati (Computer assisted telephone interview). Periodo di effettuazione dell’indagine: Dal 10 al 25 gennaio 2013.</w:t>
      </w:r>
    </w:p>
    <w:sectPr w:rsidR="00AE595E" w:rsidRPr="006B0E82" w:rsidSect="003132BF">
      <w:footerReference w:type="default" r:id="rId10"/>
      <w:pgSz w:w="11906" w:h="16838"/>
      <w:pgMar w:top="851" w:right="851" w:bottom="851" w:left="851" w:header="709" w:footer="709" w:gutter="0"/>
      <w:cols w:space="709"/>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95E" w:rsidRDefault="00AE595E">
      <w:r>
        <w:separator/>
      </w:r>
    </w:p>
  </w:endnote>
  <w:endnote w:type="continuationSeparator" w:id="0">
    <w:p w:rsidR="00AE595E" w:rsidRDefault="00AE59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Kartik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95E" w:rsidRDefault="00AE595E">
    <w:pPr>
      <w:pStyle w:val="Footer"/>
      <w:framePr w:wrap="auto" w:vAnchor="text" w:hAnchor="margin" w:xAlign="right"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separate"/>
    </w:r>
    <w:r>
      <w:rPr>
        <w:rStyle w:val="PageNumber"/>
        <w:noProof/>
        <w:sz w:val="18"/>
        <w:szCs w:val="18"/>
      </w:rPr>
      <w:t>2</w:t>
    </w:r>
    <w:r>
      <w:rPr>
        <w:rStyle w:val="PageNumber"/>
        <w:sz w:val="18"/>
        <w:szCs w:val="18"/>
      </w:rPr>
      <w:fldChar w:fldCharType="end"/>
    </w:r>
  </w:p>
  <w:p w:rsidR="00AE595E" w:rsidRDefault="00AE595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95E" w:rsidRDefault="00AE595E">
      <w:r>
        <w:separator/>
      </w:r>
    </w:p>
  </w:footnote>
  <w:footnote w:type="continuationSeparator" w:id="0">
    <w:p w:rsidR="00AE595E" w:rsidRDefault="00AE59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C105F"/>
    <w:multiLevelType w:val="hybridMultilevel"/>
    <w:tmpl w:val="7AC8D3E2"/>
    <w:lvl w:ilvl="0" w:tplc="280A51AA">
      <w:start w:val="1"/>
      <w:numFmt w:val="bullet"/>
      <w:lvlText w:val=""/>
      <w:lvlJc w:val="left"/>
      <w:pPr>
        <w:tabs>
          <w:tab w:val="num" w:pos="720"/>
        </w:tabs>
        <w:ind w:left="720" w:hanging="360"/>
      </w:pPr>
      <w:rPr>
        <w:rFonts w:ascii="Symbol" w:hAnsi="Symbol" w:cs="Symbol" w:hint="default"/>
        <w:color w:val="auto"/>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1">
    <w:nsid w:val="1E560644"/>
    <w:multiLevelType w:val="hybridMultilevel"/>
    <w:tmpl w:val="08446504"/>
    <w:lvl w:ilvl="0" w:tplc="04100001">
      <w:start w:val="1"/>
      <w:numFmt w:val="bullet"/>
      <w:lvlText w:val=""/>
      <w:lvlJc w:val="left"/>
      <w:pPr>
        <w:tabs>
          <w:tab w:val="num" w:pos="780"/>
        </w:tabs>
        <w:ind w:left="780" w:hanging="360"/>
      </w:pPr>
      <w:rPr>
        <w:rFonts w:ascii="Symbol" w:hAnsi="Symbol" w:cs="Symbol" w:hint="default"/>
      </w:rPr>
    </w:lvl>
    <w:lvl w:ilvl="1" w:tplc="04100003">
      <w:start w:val="1"/>
      <w:numFmt w:val="bullet"/>
      <w:lvlText w:val="o"/>
      <w:lvlJc w:val="left"/>
      <w:pPr>
        <w:tabs>
          <w:tab w:val="num" w:pos="1500"/>
        </w:tabs>
        <w:ind w:left="1500" w:hanging="360"/>
      </w:pPr>
      <w:rPr>
        <w:rFonts w:ascii="Courier New" w:hAnsi="Courier New" w:cs="Courier New" w:hint="default"/>
      </w:rPr>
    </w:lvl>
    <w:lvl w:ilvl="2" w:tplc="04100005">
      <w:start w:val="1"/>
      <w:numFmt w:val="bullet"/>
      <w:lvlText w:val=""/>
      <w:lvlJc w:val="left"/>
      <w:pPr>
        <w:tabs>
          <w:tab w:val="num" w:pos="2220"/>
        </w:tabs>
        <w:ind w:left="2220" w:hanging="360"/>
      </w:pPr>
      <w:rPr>
        <w:rFonts w:ascii="Wingdings" w:hAnsi="Wingdings" w:cs="Wingdings" w:hint="default"/>
      </w:rPr>
    </w:lvl>
    <w:lvl w:ilvl="3" w:tplc="04100001">
      <w:start w:val="1"/>
      <w:numFmt w:val="bullet"/>
      <w:lvlText w:val=""/>
      <w:lvlJc w:val="left"/>
      <w:pPr>
        <w:tabs>
          <w:tab w:val="num" w:pos="2940"/>
        </w:tabs>
        <w:ind w:left="2940" w:hanging="360"/>
      </w:pPr>
      <w:rPr>
        <w:rFonts w:ascii="Symbol" w:hAnsi="Symbol" w:cs="Symbol" w:hint="default"/>
      </w:rPr>
    </w:lvl>
    <w:lvl w:ilvl="4" w:tplc="04100003">
      <w:start w:val="1"/>
      <w:numFmt w:val="bullet"/>
      <w:lvlText w:val="o"/>
      <w:lvlJc w:val="left"/>
      <w:pPr>
        <w:tabs>
          <w:tab w:val="num" w:pos="3660"/>
        </w:tabs>
        <w:ind w:left="3660" w:hanging="360"/>
      </w:pPr>
      <w:rPr>
        <w:rFonts w:ascii="Courier New" w:hAnsi="Courier New" w:cs="Courier New" w:hint="default"/>
      </w:rPr>
    </w:lvl>
    <w:lvl w:ilvl="5" w:tplc="04100005">
      <w:start w:val="1"/>
      <w:numFmt w:val="bullet"/>
      <w:lvlText w:val=""/>
      <w:lvlJc w:val="left"/>
      <w:pPr>
        <w:tabs>
          <w:tab w:val="num" w:pos="4380"/>
        </w:tabs>
        <w:ind w:left="4380" w:hanging="360"/>
      </w:pPr>
      <w:rPr>
        <w:rFonts w:ascii="Wingdings" w:hAnsi="Wingdings" w:cs="Wingdings" w:hint="default"/>
      </w:rPr>
    </w:lvl>
    <w:lvl w:ilvl="6" w:tplc="04100001">
      <w:start w:val="1"/>
      <w:numFmt w:val="bullet"/>
      <w:lvlText w:val=""/>
      <w:lvlJc w:val="left"/>
      <w:pPr>
        <w:tabs>
          <w:tab w:val="num" w:pos="5100"/>
        </w:tabs>
        <w:ind w:left="5100" w:hanging="360"/>
      </w:pPr>
      <w:rPr>
        <w:rFonts w:ascii="Symbol" w:hAnsi="Symbol" w:cs="Symbol" w:hint="default"/>
      </w:rPr>
    </w:lvl>
    <w:lvl w:ilvl="7" w:tplc="04100003">
      <w:start w:val="1"/>
      <w:numFmt w:val="bullet"/>
      <w:lvlText w:val="o"/>
      <w:lvlJc w:val="left"/>
      <w:pPr>
        <w:tabs>
          <w:tab w:val="num" w:pos="5820"/>
        </w:tabs>
        <w:ind w:left="5820" w:hanging="360"/>
      </w:pPr>
      <w:rPr>
        <w:rFonts w:ascii="Courier New" w:hAnsi="Courier New" w:cs="Courier New" w:hint="default"/>
      </w:rPr>
    </w:lvl>
    <w:lvl w:ilvl="8" w:tplc="04100005">
      <w:start w:val="1"/>
      <w:numFmt w:val="bullet"/>
      <w:lvlText w:val=""/>
      <w:lvlJc w:val="left"/>
      <w:pPr>
        <w:tabs>
          <w:tab w:val="num" w:pos="6540"/>
        </w:tabs>
        <w:ind w:left="6540" w:hanging="360"/>
      </w:pPr>
      <w:rPr>
        <w:rFonts w:ascii="Wingdings" w:hAnsi="Wingdings" w:cs="Wingdings" w:hint="default"/>
      </w:rPr>
    </w:lvl>
  </w:abstractNum>
  <w:abstractNum w:abstractNumId="2">
    <w:nsid w:val="22066EAF"/>
    <w:multiLevelType w:val="hybridMultilevel"/>
    <w:tmpl w:val="4DE0F05E"/>
    <w:lvl w:ilvl="0" w:tplc="5B8091DC">
      <w:start w:val="1"/>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3">
    <w:nsid w:val="569F5193"/>
    <w:multiLevelType w:val="hybridMultilevel"/>
    <w:tmpl w:val="CDF00890"/>
    <w:lvl w:ilvl="0" w:tplc="EF50616C">
      <w:start w:val="1"/>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4">
    <w:nsid w:val="6D372B86"/>
    <w:multiLevelType w:val="hybridMultilevel"/>
    <w:tmpl w:val="DB62CCA4"/>
    <w:lvl w:ilvl="0" w:tplc="04100005">
      <w:start w:val="1"/>
      <w:numFmt w:val="bullet"/>
      <w:lvlText w:val=""/>
      <w:lvlJc w:val="left"/>
      <w:pPr>
        <w:tabs>
          <w:tab w:val="num" w:pos="720"/>
        </w:tabs>
        <w:ind w:left="720" w:hanging="360"/>
      </w:pPr>
      <w:rPr>
        <w:rFonts w:ascii="Wingdings" w:hAnsi="Wingdings" w:cs="Wingding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0358"/>
    <w:rsid w:val="00021B19"/>
    <w:rsid w:val="0002768B"/>
    <w:rsid w:val="0003230A"/>
    <w:rsid w:val="0004033D"/>
    <w:rsid w:val="000474A3"/>
    <w:rsid w:val="00071189"/>
    <w:rsid w:val="0008151E"/>
    <w:rsid w:val="000A561C"/>
    <w:rsid w:val="00107095"/>
    <w:rsid w:val="001077AC"/>
    <w:rsid w:val="00122B70"/>
    <w:rsid w:val="00155176"/>
    <w:rsid w:val="00160661"/>
    <w:rsid w:val="00185147"/>
    <w:rsid w:val="001B187A"/>
    <w:rsid w:val="001D7312"/>
    <w:rsid w:val="001F6E84"/>
    <w:rsid w:val="00230563"/>
    <w:rsid w:val="00244867"/>
    <w:rsid w:val="00284D54"/>
    <w:rsid w:val="002E7967"/>
    <w:rsid w:val="00305509"/>
    <w:rsid w:val="003132BF"/>
    <w:rsid w:val="00314B8B"/>
    <w:rsid w:val="00355A9D"/>
    <w:rsid w:val="00372EE8"/>
    <w:rsid w:val="00386AA7"/>
    <w:rsid w:val="00394B9C"/>
    <w:rsid w:val="003C26C0"/>
    <w:rsid w:val="003C2F61"/>
    <w:rsid w:val="00435DB9"/>
    <w:rsid w:val="004622BA"/>
    <w:rsid w:val="00494724"/>
    <w:rsid w:val="004D2E8A"/>
    <w:rsid w:val="005034CA"/>
    <w:rsid w:val="0053024C"/>
    <w:rsid w:val="005335F9"/>
    <w:rsid w:val="005375E5"/>
    <w:rsid w:val="005539E5"/>
    <w:rsid w:val="00584211"/>
    <w:rsid w:val="005A54D8"/>
    <w:rsid w:val="005B378F"/>
    <w:rsid w:val="005B6799"/>
    <w:rsid w:val="005D4495"/>
    <w:rsid w:val="005F5A73"/>
    <w:rsid w:val="00606A0F"/>
    <w:rsid w:val="00611BEE"/>
    <w:rsid w:val="006213EA"/>
    <w:rsid w:val="00643534"/>
    <w:rsid w:val="00682BFB"/>
    <w:rsid w:val="00685FEA"/>
    <w:rsid w:val="006864E9"/>
    <w:rsid w:val="006B0E82"/>
    <w:rsid w:val="006D0554"/>
    <w:rsid w:val="006D53F8"/>
    <w:rsid w:val="006E557C"/>
    <w:rsid w:val="006F62EA"/>
    <w:rsid w:val="007120EA"/>
    <w:rsid w:val="007252DD"/>
    <w:rsid w:val="00742DD6"/>
    <w:rsid w:val="007A4912"/>
    <w:rsid w:val="007B37B5"/>
    <w:rsid w:val="007D4469"/>
    <w:rsid w:val="007E7968"/>
    <w:rsid w:val="008022C0"/>
    <w:rsid w:val="00815060"/>
    <w:rsid w:val="008321C2"/>
    <w:rsid w:val="008611A6"/>
    <w:rsid w:val="008978CC"/>
    <w:rsid w:val="008A45FD"/>
    <w:rsid w:val="00904182"/>
    <w:rsid w:val="0093735A"/>
    <w:rsid w:val="00976624"/>
    <w:rsid w:val="009C2D1B"/>
    <w:rsid w:val="009F1538"/>
    <w:rsid w:val="00A45811"/>
    <w:rsid w:val="00A61F34"/>
    <w:rsid w:val="00AB598B"/>
    <w:rsid w:val="00AE595E"/>
    <w:rsid w:val="00B32B11"/>
    <w:rsid w:val="00B332B8"/>
    <w:rsid w:val="00B34ADD"/>
    <w:rsid w:val="00B657C5"/>
    <w:rsid w:val="00BB5453"/>
    <w:rsid w:val="00BC3780"/>
    <w:rsid w:val="00BD1499"/>
    <w:rsid w:val="00C05F9F"/>
    <w:rsid w:val="00C427C2"/>
    <w:rsid w:val="00C475A0"/>
    <w:rsid w:val="00C630A1"/>
    <w:rsid w:val="00C717E1"/>
    <w:rsid w:val="00C97692"/>
    <w:rsid w:val="00CB17DF"/>
    <w:rsid w:val="00CC1E62"/>
    <w:rsid w:val="00CD397B"/>
    <w:rsid w:val="00CF0339"/>
    <w:rsid w:val="00D2291E"/>
    <w:rsid w:val="00D264F0"/>
    <w:rsid w:val="00D712E6"/>
    <w:rsid w:val="00D9151F"/>
    <w:rsid w:val="00DC2DDC"/>
    <w:rsid w:val="00DC46C5"/>
    <w:rsid w:val="00E261D7"/>
    <w:rsid w:val="00E30D12"/>
    <w:rsid w:val="00E50358"/>
    <w:rsid w:val="00E66EC0"/>
    <w:rsid w:val="00EA1226"/>
    <w:rsid w:val="00EB5A1C"/>
    <w:rsid w:val="00EC15D0"/>
    <w:rsid w:val="00EC6316"/>
    <w:rsid w:val="00F20A55"/>
    <w:rsid w:val="00F23A9E"/>
    <w:rsid w:val="00F3572B"/>
    <w:rsid w:val="00F446A9"/>
    <w:rsid w:val="00F53207"/>
    <w:rsid w:val="00F70E20"/>
    <w:rsid w:val="00F8461A"/>
    <w:rsid w:val="00FB4E4B"/>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sz w:val="22"/>
        <w:szCs w:val="22"/>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6E84"/>
    <w:rPr>
      <w:rFonts w:ascii="Geneva" w:hAnsi="Geneva" w:cs="Geneva"/>
      <w:sz w:val="28"/>
      <w:szCs w:val="28"/>
    </w:rPr>
  </w:style>
  <w:style w:type="paragraph" w:styleId="Heading1">
    <w:name w:val="heading 1"/>
    <w:basedOn w:val="Normal"/>
    <w:next w:val="Normal"/>
    <w:link w:val="Heading1Char"/>
    <w:uiPriority w:val="99"/>
    <w:qFormat/>
    <w:rsid w:val="001F6E84"/>
    <w:pPr>
      <w:keepNext/>
      <w:jc w:val="center"/>
      <w:outlineLvl w:val="0"/>
    </w:pPr>
    <w:rPr>
      <w:rFonts w:ascii="Times New Roman" w:eastAsia="Times New Roman" w:hAnsi="Times New Roman" w:cs="Times New Roman"/>
    </w:rPr>
  </w:style>
  <w:style w:type="paragraph" w:styleId="Heading2">
    <w:name w:val="heading 2"/>
    <w:basedOn w:val="Normal"/>
    <w:next w:val="Normal"/>
    <w:link w:val="Heading2Char"/>
    <w:uiPriority w:val="99"/>
    <w:qFormat/>
    <w:rsid w:val="001F6E84"/>
    <w:pPr>
      <w:keepNext/>
      <w:jc w:val="center"/>
      <w:outlineLvl w:val="1"/>
    </w:pPr>
    <w:rPr>
      <w:rFonts w:ascii="Times New Roman" w:eastAsia="Times New Roman" w:hAnsi="Times New Roman" w:cs="Times New Roman"/>
      <w:sz w:val="24"/>
      <w:szCs w:val="24"/>
      <w:u w:val="single"/>
    </w:rPr>
  </w:style>
  <w:style w:type="paragraph" w:styleId="Heading3">
    <w:name w:val="heading 3"/>
    <w:basedOn w:val="Normal"/>
    <w:next w:val="Normal"/>
    <w:link w:val="Heading3Char"/>
    <w:uiPriority w:val="99"/>
    <w:qFormat/>
    <w:rsid w:val="001F6E84"/>
    <w:pPr>
      <w:keepNext/>
      <w:jc w:val="both"/>
      <w:outlineLvl w:val="2"/>
    </w:pPr>
    <w:rPr>
      <w:rFonts w:ascii="Comic Sans MS" w:eastAsia="Times New Roman" w:hAnsi="Comic Sans MS" w:cs="Comic Sans MS"/>
      <w:b/>
      <w:bCs/>
      <w:i/>
      <w:iCs/>
      <w:color w:val="008080"/>
    </w:rPr>
  </w:style>
  <w:style w:type="paragraph" w:styleId="Heading4">
    <w:name w:val="heading 4"/>
    <w:basedOn w:val="Normal"/>
    <w:next w:val="Normal"/>
    <w:link w:val="Heading4Char"/>
    <w:uiPriority w:val="99"/>
    <w:qFormat/>
    <w:rsid w:val="001F6E84"/>
    <w:pPr>
      <w:keepNext/>
      <w:spacing w:line="360" w:lineRule="auto"/>
      <w:jc w:val="center"/>
      <w:outlineLvl w:val="3"/>
    </w:pPr>
    <w:rPr>
      <w:rFonts w:ascii="Verdana" w:eastAsia="Times New Roman" w:hAnsi="Verdana" w:cs="Verdana"/>
      <w:b/>
      <w:bCs/>
      <w:u w:val="single"/>
    </w:rPr>
  </w:style>
  <w:style w:type="paragraph" w:styleId="Heading5">
    <w:name w:val="heading 5"/>
    <w:basedOn w:val="Normal"/>
    <w:next w:val="Normal"/>
    <w:link w:val="Heading5Char"/>
    <w:uiPriority w:val="99"/>
    <w:qFormat/>
    <w:rsid w:val="001F6E84"/>
    <w:pPr>
      <w:keepNext/>
      <w:jc w:val="both"/>
      <w:outlineLvl w:val="4"/>
    </w:pPr>
    <w:rPr>
      <w:rFonts w:ascii="Verdana" w:hAnsi="Verdana" w:cs="Verdana"/>
      <w:b/>
      <w:bCs/>
      <w:sz w:val="20"/>
      <w:szCs w:val="20"/>
    </w:rPr>
  </w:style>
  <w:style w:type="paragraph" w:styleId="Heading6">
    <w:name w:val="heading 6"/>
    <w:basedOn w:val="Normal"/>
    <w:next w:val="Normal"/>
    <w:link w:val="Heading6Char"/>
    <w:uiPriority w:val="99"/>
    <w:qFormat/>
    <w:rsid w:val="001F6E84"/>
    <w:pPr>
      <w:keepNext/>
      <w:spacing w:before="120" w:after="120"/>
      <w:jc w:val="both"/>
      <w:outlineLvl w:val="5"/>
    </w:pPr>
    <w:rPr>
      <w:rFonts w:ascii="Times New Roman" w:eastAsia="Times New Roman" w:hAnsi="Times New Roman" w:cs="Times New Roman"/>
      <w:b/>
      <w:bCs/>
      <w:sz w:val="24"/>
      <w:szCs w:val="24"/>
    </w:rPr>
  </w:style>
  <w:style w:type="paragraph" w:styleId="Heading7">
    <w:name w:val="heading 7"/>
    <w:basedOn w:val="Normal"/>
    <w:next w:val="Normal"/>
    <w:link w:val="Heading7Char"/>
    <w:uiPriority w:val="99"/>
    <w:qFormat/>
    <w:rsid w:val="001F6E84"/>
    <w:pPr>
      <w:keepNext/>
      <w:jc w:val="both"/>
      <w:outlineLvl w:val="6"/>
    </w:pPr>
    <w:rPr>
      <w:i/>
      <w:iCs/>
      <w:sz w:val="18"/>
      <w:szCs w:val="18"/>
    </w:rPr>
  </w:style>
  <w:style w:type="paragraph" w:styleId="Heading8">
    <w:name w:val="heading 8"/>
    <w:basedOn w:val="Normal"/>
    <w:next w:val="Normal"/>
    <w:link w:val="Heading8Char"/>
    <w:uiPriority w:val="99"/>
    <w:qFormat/>
    <w:rsid w:val="001F6E84"/>
    <w:pPr>
      <w:keepNext/>
      <w:jc w:val="both"/>
      <w:outlineLvl w:val="7"/>
    </w:pPr>
    <w:rPr>
      <w:i/>
      <w:iCs/>
      <w:sz w:val="20"/>
      <w:szCs w:val="20"/>
    </w:rPr>
  </w:style>
  <w:style w:type="paragraph" w:styleId="Heading9">
    <w:name w:val="heading 9"/>
    <w:basedOn w:val="Normal"/>
    <w:next w:val="Normal"/>
    <w:link w:val="Heading9Char"/>
    <w:uiPriority w:val="99"/>
    <w:qFormat/>
    <w:rsid w:val="001F6E84"/>
    <w:pPr>
      <w:keepNext/>
      <w:outlineLvl w:val="8"/>
    </w:pPr>
    <w:rPr>
      <w:rFonts w:ascii="Verdana" w:hAnsi="Verdana" w:cs="Verdana"/>
      <w:i/>
      <w:iCs/>
      <w:sz w:val="16"/>
      <w:szCs w:val="1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5D3"/>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B125D3"/>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B125D3"/>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125D3"/>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B125D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B125D3"/>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B125D3"/>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B125D3"/>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B125D3"/>
    <w:rPr>
      <w:rFonts w:asciiTheme="majorHAnsi" w:eastAsiaTheme="majorEastAsia" w:hAnsiTheme="majorHAnsi" w:cstheme="majorBidi"/>
    </w:rPr>
  </w:style>
  <w:style w:type="paragraph" w:styleId="Header">
    <w:name w:val="header"/>
    <w:basedOn w:val="Normal"/>
    <w:link w:val="HeaderChar"/>
    <w:uiPriority w:val="99"/>
    <w:semiHidden/>
    <w:rsid w:val="001F6E84"/>
    <w:pPr>
      <w:tabs>
        <w:tab w:val="center" w:pos="4153"/>
        <w:tab w:val="right" w:pos="8306"/>
      </w:tabs>
    </w:pPr>
  </w:style>
  <w:style w:type="character" w:customStyle="1" w:styleId="HeaderChar">
    <w:name w:val="Header Char"/>
    <w:basedOn w:val="DefaultParagraphFont"/>
    <w:link w:val="Header"/>
    <w:uiPriority w:val="99"/>
    <w:semiHidden/>
    <w:rsid w:val="00B125D3"/>
    <w:rPr>
      <w:rFonts w:ascii="Geneva" w:hAnsi="Geneva" w:cs="Geneva"/>
      <w:sz w:val="28"/>
      <w:szCs w:val="28"/>
    </w:rPr>
  </w:style>
  <w:style w:type="paragraph" w:styleId="Footer">
    <w:name w:val="footer"/>
    <w:basedOn w:val="Normal"/>
    <w:link w:val="FooterChar"/>
    <w:uiPriority w:val="99"/>
    <w:semiHidden/>
    <w:rsid w:val="001F6E84"/>
    <w:pPr>
      <w:tabs>
        <w:tab w:val="center" w:pos="4153"/>
        <w:tab w:val="right" w:pos="8306"/>
      </w:tabs>
    </w:pPr>
  </w:style>
  <w:style w:type="character" w:customStyle="1" w:styleId="FooterChar">
    <w:name w:val="Footer Char"/>
    <w:basedOn w:val="DefaultParagraphFont"/>
    <w:link w:val="Footer"/>
    <w:uiPriority w:val="99"/>
    <w:semiHidden/>
    <w:locked/>
    <w:rsid w:val="00F20A55"/>
    <w:rPr>
      <w:rFonts w:ascii="Geneva" w:hAnsi="Geneva" w:cs="Geneva"/>
      <w:sz w:val="28"/>
      <w:szCs w:val="28"/>
    </w:rPr>
  </w:style>
  <w:style w:type="paragraph" w:styleId="BodyText">
    <w:name w:val="Body Text"/>
    <w:basedOn w:val="Normal"/>
    <w:link w:val="BodyTextChar"/>
    <w:uiPriority w:val="99"/>
    <w:semiHidden/>
    <w:rsid w:val="001F6E84"/>
    <w:pPr>
      <w:jc w:val="both"/>
    </w:pPr>
  </w:style>
  <w:style w:type="character" w:customStyle="1" w:styleId="BodyTextChar">
    <w:name w:val="Body Text Char"/>
    <w:basedOn w:val="DefaultParagraphFont"/>
    <w:link w:val="BodyText"/>
    <w:uiPriority w:val="99"/>
    <w:semiHidden/>
    <w:rsid w:val="00B125D3"/>
    <w:rPr>
      <w:rFonts w:ascii="Geneva" w:hAnsi="Geneva" w:cs="Geneva"/>
      <w:sz w:val="28"/>
      <w:szCs w:val="28"/>
    </w:rPr>
  </w:style>
  <w:style w:type="paragraph" w:styleId="BodyTextIndent">
    <w:name w:val="Body Text Indent"/>
    <w:basedOn w:val="Normal"/>
    <w:link w:val="BodyTextIndentChar"/>
    <w:uiPriority w:val="99"/>
    <w:semiHidden/>
    <w:rsid w:val="001F6E84"/>
    <w:pPr>
      <w:ind w:firstLine="709"/>
      <w:jc w:val="both"/>
    </w:pPr>
    <w:rPr>
      <w:rFonts w:ascii="Arial" w:eastAsia="Times New Roman" w:hAnsi="Arial" w:cs="Arial"/>
      <w:sz w:val="24"/>
      <w:szCs w:val="24"/>
    </w:rPr>
  </w:style>
  <w:style w:type="character" w:customStyle="1" w:styleId="BodyTextIndentChar">
    <w:name w:val="Body Text Indent Char"/>
    <w:basedOn w:val="DefaultParagraphFont"/>
    <w:link w:val="BodyTextIndent"/>
    <w:uiPriority w:val="99"/>
    <w:semiHidden/>
    <w:rsid w:val="00B125D3"/>
    <w:rPr>
      <w:rFonts w:ascii="Geneva" w:hAnsi="Geneva" w:cs="Geneva"/>
      <w:sz w:val="28"/>
      <w:szCs w:val="28"/>
    </w:rPr>
  </w:style>
  <w:style w:type="paragraph" w:styleId="BodyText2">
    <w:name w:val="Body Text 2"/>
    <w:basedOn w:val="Normal"/>
    <w:link w:val="BodyText2Char"/>
    <w:uiPriority w:val="99"/>
    <w:semiHidden/>
    <w:rsid w:val="001F6E84"/>
    <w:pPr>
      <w:jc w:val="center"/>
    </w:pPr>
    <w:rPr>
      <w:b/>
      <w:bCs/>
    </w:rPr>
  </w:style>
  <w:style w:type="character" w:customStyle="1" w:styleId="BodyText2Char">
    <w:name w:val="Body Text 2 Char"/>
    <w:basedOn w:val="DefaultParagraphFont"/>
    <w:link w:val="BodyText2"/>
    <w:uiPriority w:val="99"/>
    <w:semiHidden/>
    <w:rsid w:val="00B125D3"/>
    <w:rPr>
      <w:rFonts w:ascii="Geneva" w:hAnsi="Geneva" w:cs="Geneva"/>
      <w:sz w:val="28"/>
      <w:szCs w:val="28"/>
    </w:rPr>
  </w:style>
  <w:style w:type="character" w:styleId="Hyperlink">
    <w:name w:val="Hyperlink"/>
    <w:basedOn w:val="DefaultParagraphFont"/>
    <w:uiPriority w:val="99"/>
    <w:semiHidden/>
    <w:rsid w:val="001F6E84"/>
    <w:rPr>
      <w:color w:val="0000FF"/>
      <w:u w:val="single"/>
    </w:rPr>
  </w:style>
  <w:style w:type="paragraph" w:styleId="BodyText3">
    <w:name w:val="Body Text 3"/>
    <w:basedOn w:val="Normal"/>
    <w:link w:val="BodyText3Char"/>
    <w:uiPriority w:val="99"/>
    <w:semiHidden/>
    <w:rsid w:val="001F6E84"/>
    <w:pPr>
      <w:jc w:val="center"/>
    </w:pPr>
    <w:rPr>
      <w:rFonts w:ascii="Verdana" w:hAnsi="Verdana" w:cs="Verdana"/>
      <w:sz w:val="16"/>
      <w:szCs w:val="16"/>
    </w:rPr>
  </w:style>
  <w:style w:type="character" w:customStyle="1" w:styleId="BodyText3Char">
    <w:name w:val="Body Text 3 Char"/>
    <w:basedOn w:val="DefaultParagraphFont"/>
    <w:link w:val="BodyText3"/>
    <w:uiPriority w:val="99"/>
    <w:semiHidden/>
    <w:rsid w:val="00B125D3"/>
    <w:rPr>
      <w:rFonts w:ascii="Geneva" w:hAnsi="Geneva" w:cs="Geneva"/>
      <w:sz w:val="16"/>
      <w:szCs w:val="16"/>
    </w:rPr>
  </w:style>
  <w:style w:type="character" w:styleId="PageNumber">
    <w:name w:val="page number"/>
    <w:basedOn w:val="DefaultParagraphFont"/>
    <w:uiPriority w:val="99"/>
    <w:semiHidden/>
    <w:rsid w:val="001F6E84"/>
  </w:style>
  <w:style w:type="paragraph" w:customStyle="1" w:styleId="xl25">
    <w:name w:val="xl25"/>
    <w:basedOn w:val="Normal"/>
    <w:uiPriority w:val="99"/>
    <w:rsid w:val="001F6E84"/>
    <w:pPr>
      <w:spacing w:before="100" w:beforeAutospacing="1" w:after="100" w:afterAutospacing="1"/>
    </w:pPr>
    <w:rPr>
      <w:rFonts w:ascii="Verdana" w:hAnsi="Verdana" w:cs="Verdana"/>
      <w:sz w:val="24"/>
      <w:szCs w:val="24"/>
    </w:rPr>
  </w:style>
  <w:style w:type="paragraph" w:customStyle="1" w:styleId="RIENTRO">
    <w:name w:val="RIENTRO"/>
    <w:basedOn w:val="Normal"/>
    <w:uiPriority w:val="99"/>
    <w:rsid w:val="001F6E84"/>
    <w:pPr>
      <w:spacing w:before="120" w:after="120"/>
      <w:ind w:left="284" w:hanging="284"/>
      <w:jc w:val="both"/>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rsid w:val="001F6E84"/>
    <w:pPr>
      <w:ind w:left="284" w:hanging="284"/>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B125D3"/>
    <w:rPr>
      <w:rFonts w:ascii="Geneva" w:hAnsi="Geneva" w:cs="Geneva"/>
      <w:sz w:val="20"/>
      <w:szCs w:val="20"/>
    </w:rPr>
  </w:style>
  <w:style w:type="character" w:styleId="FootnoteReference">
    <w:name w:val="footnote reference"/>
    <w:basedOn w:val="DefaultParagraphFont"/>
    <w:uiPriority w:val="99"/>
    <w:semiHidden/>
    <w:rsid w:val="001F6E84"/>
    <w:rPr>
      <w:vertAlign w:val="superscript"/>
    </w:rPr>
  </w:style>
  <w:style w:type="paragraph" w:styleId="BodyTextIndent3">
    <w:name w:val="Body Text Indent 3"/>
    <w:basedOn w:val="Normal"/>
    <w:link w:val="BodyTextIndent3Char"/>
    <w:uiPriority w:val="99"/>
    <w:semiHidden/>
    <w:rsid w:val="001F6E84"/>
    <w:pPr>
      <w:spacing w:line="360" w:lineRule="auto"/>
      <w:ind w:firstLine="709"/>
      <w:jc w:val="both"/>
    </w:pPr>
    <w:rPr>
      <w:rFonts w:ascii="Verdana" w:eastAsia="Times New Roman" w:hAnsi="Verdana" w:cs="Verdana"/>
      <w:b/>
      <w:bCs/>
      <w:i/>
      <w:iCs/>
      <w:sz w:val="20"/>
      <w:szCs w:val="20"/>
    </w:rPr>
  </w:style>
  <w:style w:type="character" w:customStyle="1" w:styleId="BodyTextIndent3Char">
    <w:name w:val="Body Text Indent 3 Char"/>
    <w:basedOn w:val="DefaultParagraphFont"/>
    <w:link w:val="BodyTextIndent3"/>
    <w:uiPriority w:val="99"/>
    <w:semiHidden/>
    <w:rsid w:val="00B125D3"/>
    <w:rPr>
      <w:rFonts w:ascii="Geneva" w:hAnsi="Geneva" w:cs="Geneva"/>
      <w:sz w:val="16"/>
      <w:szCs w:val="16"/>
    </w:rPr>
  </w:style>
  <w:style w:type="paragraph" w:styleId="BodyTextIndent2">
    <w:name w:val="Body Text Indent 2"/>
    <w:basedOn w:val="Normal"/>
    <w:link w:val="BodyTextIndent2Char"/>
    <w:uiPriority w:val="99"/>
    <w:semiHidden/>
    <w:rsid w:val="001F6E84"/>
    <w:pPr>
      <w:ind w:firstLine="708"/>
      <w:jc w:val="both"/>
    </w:pPr>
    <w:rPr>
      <w:rFonts w:ascii="Verdana" w:hAnsi="Verdana" w:cs="Verdana"/>
      <w:sz w:val="20"/>
      <w:szCs w:val="20"/>
    </w:rPr>
  </w:style>
  <w:style w:type="character" w:customStyle="1" w:styleId="BodyTextIndent2Char">
    <w:name w:val="Body Text Indent 2 Char"/>
    <w:basedOn w:val="DefaultParagraphFont"/>
    <w:link w:val="BodyTextIndent2"/>
    <w:uiPriority w:val="99"/>
    <w:semiHidden/>
    <w:rsid w:val="00B125D3"/>
    <w:rPr>
      <w:rFonts w:ascii="Geneva" w:hAnsi="Geneva" w:cs="Geneva"/>
      <w:sz w:val="28"/>
      <w:szCs w:val="28"/>
    </w:rPr>
  </w:style>
  <w:style w:type="paragraph" w:styleId="Caption">
    <w:name w:val="caption"/>
    <w:basedOn w:val="Normal"/>
    <w:next w:val="Normal"/>
    <w:uiPriority w:val="99"/>
    <w:qFormat/>
    <w:rsid w:val="001F6E84"/>
    <w:rPr>
      <w:rFonts w:ascii="Verdana" w:hAnsi="Verdana" w:cs="Verdana"/>
      <w:i/>
      <w:iCs/>
      <w:sz w:val="18"/>
      <w:szCs w:val="18"/>
    </w:rPr>
  </w:style>
  <w:style w:type="paragraph" w:customStyle="1" w:styleId="xl27">
    <w:name w:val="xl27"/>
    <w:basedOn w:val="Normal"/>
    <w:uiPriority w:val="99"/>
    <w:rsid w:val="001F6E84"/>
    <w:pPr>
      <w:spacing w:before="100" w:beforeAutospacing="1" w:after="100" w:afterAutospacing="1"/>
      <w:jc w:val="center"/>
    </w:pPr>
    <w:rPr>
      <w:rFonts w:ascii="Kartika" w:hAnsi="Kartika" w:cs="Kartika"/>
      <w:sz w:val="24"/>
      <w:szCs w:val="24"/>
    </w:rPr>
  </w:style>
  <w:style w:type="paragraph" w:customStyle="1" w:styleId="xl26">
    <w:name w:val="xl26"/>
    <w:basedOn w:val="Normal"/>
    <w:uiPriority w:val="99"/>
    <w:rsid w:val="001F6E84"/>
    <w:pPr>
      <w:spacing w:before="100" w:beforeAutospacing="1" w:after="100" w:afterAutospacing="1"/>
      <w:jc w:val="center"/>
    </w:pPr>
    <w:rPr>
      <w:rFonts w:ascii="Verdana" w:hAnsi="Verdana" w:cs="Verdana"/>
      <w:b/>
      <w:bCs/>
      <w:sz w:val="16"/>
      <w:szCs w:val="16"/>
    </w:rPr>
  </w:style>
  <w:style w:type="paragraph" w:customStyle="1" w:styleId="xl24">
    <w:name w:val="xl24"/>
    <w:basedOn w:val="Normal"/>
    <w:uiPriority w:val="99"/>
    <w:rsid w:val="001F6E84"/>
    <w:pPr>
      <w:spacing w:before="100" w:beforeAutospacing="1" w:after="100" w:afterAutospacing="1"/>
    </w:pPr>
    <w:rPr>
      <w:rFonts w:ascii="Verdana" w:hAnsi="Verdana" w:cs="Verdana"/>
      <w:b/>
      <w:bCs/>
      <w:sz w:val="16"/>
      <w:szCs w:val="16"/>
    </w:rPr>
  </w:style>
  <w:style w:type="character" w:styleId="FollowedHyperlink">
    <w:name w:val="FollowedHyperlink"/>
    <w:basedOn w:val="DefaultParagraphFont"/>
    <w:uiPriority w:val="99"/>
    <w:semiHidden/>
    <w:rsid w:val="001F6E84"/>
    <w:rPr>
      <w:color w:val="800080"/>
      <w:u w:val="single"/>
    </w:rPr>
  </w:style>
  <w:style w:type="paragraph" w:customStyle="1" w:styleId="xl28">
    <w:name w:val="xl28"/>
    <w:basedOn w:val="Normal"/>
    <w:uiPriority w:val="99"/>
    <w:rsid w:val="001F6E84"/>
    <w:pPr>
      <w:spacing w:before="100" w:beforeAutospacing="1" w:after="100" w:afterAutospacing="1"/>
      <w:jc w:val="center"/>
    </w:pPr>
    <w:rPr>
      <w:rFonts w:ascii="Verdana" w:hAnsi="Verdana" w:cs="Verdana"/>
      <w:b/>
      <w:bCs/>
      <w:sz w:val="16"/>
      <w:szCs w:val="16"/>
    </w:rPr>
  </w:style>
  <w:style w:type="paragraph" w:customStyle="1" w:styleId="xl29">
    <w:name w:val="xl29"/>
    <w:basedOn w:val="Normal"/>
    <w:uiPriority w:val="99"/>
    <w:rsid w:val="001F6E84"/>
    <w:pPr>
      <w:spacing w:before="100" w:beforeAutospacing="1" w:after="100" w:afterAutospacing="1"/>
      <w:jc w:val="center"/>
    </w:pPr>
    <w:rPr>
      <w:rFonts w:ascii="Verdana" w:hAnsi="Verdana" w:cs="Verdana"/>
      <w:sz w:val="16"/>
      <w:szCs w:val="16"/>
    </w:rPr>
  </w:style>
  <w:style w:type="paragraph" w:customStyle="1" w:styleId="xl30">
    <w:name w:val="xl30"/>
    <w:basedOn w:val="Normal"/>
    <w:uiPriority w:val="99"/>
    <w:rsid w:val="001F6E84"/>
    <w:pPr>
      <w:pBdr>
        <w:top w:val="single" w:sz="4" w:space="0" w:color="auto"/>
      </w:pBdr>
      <w:spacing w:before="100" w:beforeAutospacing="1" w:after="100" w:afterAutospacing="1"/>
      <w:jc w:val="center"/>
    </w:pPr>
    <w:rPr>
      <w:rFonts w:ascii="Verdana" w:hAnsi="Verdana" w:cs="Verdana"/>
      <w:b/>
      <w:bCs/>
      <w:sz w:val="16"/>
      <w:szCs w:val="16"/>
    </w:rPr>
  </w:style>
  <w:style w:type="paragraph" w:customStyle="1" w:styleId="xl31">
    <w:name w:val="xl31"/>
    <w:basedOn w:val="Normal"/>
    <w:uiPriority w:val="99"/>
    <w:rsid w:val="001F6E84"/>
    <w:pPr>
      <w:pBdr>
        <w:bottom w:val="single" w:sz="4" w:space="0" w:color="auto"/>
      </w:pBdr>
      <w:spacing w:before="100" w:beforeAutospacing="1" w:after="100" w:afterAutospacing="1"/>
    </w:pPr>
    <w:rPr>
      <w:rFonts w:ascii="Verdana" w:hAnsi="Verdana" w:cs="Verdana"/>
      <w:sz w:val="16"/>
      <w:szCs w:val="16"/>
    </w:rPr>
  </w:style>
  <w:style w:type="paragraph" w:customStyle="1" w:styleId="xl32">
    <w:name w:val="xl32"/>
    <w:basedOn w:val="Normal"/>
    <w:uiPriority w:val="99"/>
    <w:rsid w:val="001F6E84"/>
    <w:pPr>
      <w:pBdr>
        <w:bottom w:val="single" w:sz="4" w:space="0" w:color="auto"/>
      </w:pBdr>
      <w:spacing w:before="100" w:beforeAutospacing="1" w:after="100" w:afterAutospacing="1"/>
      <w:jc w:val="center"/>
    </w:pPr>
    <w:rPr>
      <w:rFonts w:ascii="Verdana" w:hAnsi="Verdana" w:cs="Verdana"/>
      <w:sz w:val="16"/>
      <w:szCs w:val="16"/>
    </w:rPr>
  </w:style>
  <w:style w:type="paragraph" w:customStyle="1" w:styleId="xl33">
    <w:name w:val="xl33"/>
    <w:basedOn w:val="Normal"/>
    <w:uiPriority w:val="99"/>
    <w:rsid w:val="001F6E84"/>
    <w:pPr>
      <w:pBdr>
        <w:bottom w:val="single" w:sz="4" w:space="0" w:color="auto"/>
      </w:pBdr>
      <w:spacing w:before="100" w:beforeAutospacing="1" w:after="100" w:afterAutospacing="1"/>
      <w:jc w:val="center"/>
    </w:pPr>
    <w:rPr>
      <w:rFonts w:ascii="Verdana" w:hAnsi="Verdana" w:cs="Verdana"/>
      <w:b/>
      <w:bCs/>
      <w:sz w:val="16"/>
      <w:szCs w:val="16"/>
    </w:rPr>
  </w:style>
  <w:style w:type="paragraph" w:customStyle="1" w:styleId="xl34">
    <w:name w:val="xl34"/>
    <w:basedOn w:val="Normal"/>
    <w:uiPriority w:val="99"/>
    <w:rsid w:val="001F6E84"/>
    <w:pPr>
      <w:pBdr>
        <w:bottom w:val="single" w:sz="4" w:space="0" w:color="auto"/>
      </w:pBdr>
      <w:spacing w:before="100" w:beforeAutospacing="1" w:after="100" w:afterAutospacing="1"/>
      <w:jc w:val="center"/>
    </w:pPr>
    <w:rPr>
      <w:rFonts w:ascii="Verdana" w:hAnsi="Verdana" w:cs="Verdana"/>
      <w:sz w:val="16"/>
      <w:szCs w:val="16"/>
    </w:rPr>
  </w:style>
  <w:style w:type="paragraph" w:customStyle="1" w:styleId="xl35">
    <w:name w:val="xl35"/>
    <w:basedOn w:val="Normal"/>
    <w:uiPriority w:val="99"/>
    <w:rsid w:val="001F6E84"/>
    <w:pPr>
      <w:pBdr>
        <w:top w:val="single" w:sz="4" w:space="0" w:color="auto"/>
      </w:pBdr>
      <w:spacing w:before="100" w:beforeAutospacing="1" w:after="100" w:afterAutospacing="1"/>
      <w:jc w:val="center"/>
    </w:pPr>
    <w:rPr>
      <w:rFonts w:ascii="Verdana" w:hAnsi="Verdana" w:cs="Verdana"/>
      <w:sz w:val="16"/>
      <w:szCs w:val="16"/>
    </w:rPr>
  </w:style>
  <w:style w:type="paragraph" w:styleId="BlockText">
    <w:name w:val="Block Text"/>
    <w:basedOn w:val="Normal"/>
    <w:uiPriority w:val="99"/>
    <w:semiHidden/>
    <w:rsid w:val="001F6E84"/>
    <w:pPr>
      <w:autoSpaceDE w:val="0"/>
      <w:autoSpaceDN w:val="0"/>
      <w:adjustRightInd w:val="0"/>
      <w:ind w:left="567" w:right="565"/>
      <w:jc w:val="both"/>
    </w:pPr>
    <w:rPr>
      <w:rFonts w:ascii="Verdana" w:hAnsi="Verdana" w:cs="Verdana"/>
      <w:sz w:val="20"/>
      <w:szCs w:val="20"/>
    </w:rPr>
  </w:style>
  <w:style w:type="paragraph" w:styleId="BalloonText">
    <w:name w:val="Balloon Text"/>
    <w:basedOn w:val="Normal"/>
    <w:link w:val="BalloonTextChar"/>
    <w:uiPriority w:val="99"/>
    <w:semiHidden/>
    <w:rsid w:val="001F6E84"/>
    <w:rPr>
      <w:rFonts w:ascii="Tahoma" w:hAnsi="Tahoma" w:cs="Tahoma"/>
      <w:sz w:val="16"/>
      <w:szCs w:val="16"/>
    </w:rPr>
  </w:style>
  <w:style w:type="character" w:customStyle="1" w:styleId="BalloonTextChar">
    <w:name w:val="Balloon Text Char"/>
    <w:basedOn w:val="DefaultParagraphFont"/>
    <w:link w:val="BalloonText"/>
    <w:uiPriority w:val="99"/>
    <w:semiHidden/>
    <w:rsid w:val="00B125D3"/>
    <w:rPr>
      <w:rFonts w:ascii="Times New Roman" w:hAnsi="Times New Roman"/>
      <w:sz w:val="0"/>
      <w:szCs w:val="0"/>
    </w:rPr>
  </w:style>
  <w:style w:type="character" w:customStyle="1" w:styleId="TestofumettoCarattere">
    <w:name w:val="Testo fumetto Carattere"/>
    <w:uiPriority w:val="99"/>
    <w:semiHidden/>
    <w:rsid w:val="001F6E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4348814">
      <w:marLeft w:val="0"/>
      <w:marRight w:val="0"/>
      <w:marTop w:val="0"/>
      <w:marBottom w:val="0"/>
      <w:divBdr>
        <w:top w:val="none" w:sz="0" w:space="0" w:color="auto"/>
        <w:left w:val="none" w:sz="0" w:space="0" w:color="auto"/>
        <w:bottom w:val="none" w:sz="0" w:space="0" w:color="auto"/>
        <w:right w:val="none" w:sz="0" w:space="0" w:color="auto"/>
      </w:divBdr>
      <w:divsChild>
        <w:div w:id="1464348823">
          <w:marLeft w:val="0"/>
          <w:marRight w:val="0"/>
          <w:marTop w:val="0"/>
          <w:marBottom w:val="0"/>
          <w:divBdr>
            <w:top w:val="none" w:sz="0" w:space="0" w:color="auto"/>
            <w:left w:val="single" w:sz="6" w:space="0" w:color="E8E8E8"/>
            <w:bottom w:val="none" w:sz="0" w:space="0" w:color="auto"/>
            <w:right w:val="single" w:sz="6" w:space="0" w:color="E8E8E8"/>
          </w:divBdr>
          <w:divsChild>
            <w:div w:id="1464348822">
              <w:marLeft w:val="0"/>
              <w:marRight w:val="0"/>
              <w:marTop w:val="0"/>
              <w:marBottom w:val="0"/>
              <w:divBdr>
                <w:top w:val="none" w:sz="0" w:space="0" w:color="auto"/>
                <w:left w:val="none" w:sz="0" w:space="0" w:color="auto"/>
                <w:bottom w:val="none" w:sz="0" w:space="0" w:color="auto"/>
                <w:right w:val="none" w:sz="0" w:space="0" w:color="auto"/>
              </w:divBdr>
              <w:divsChild>
                <w:div w:id="1464348812">
                  <w:marLeft w:val="0"/>
                  <w:marRight w:val="0"/>
                  <w:marTop w:val="0"/>
                  <w:marBottom w:val="0"/>
                  <w:divBdr>
                    <w:top w:val="none" w:sz="0" w:space="0" w:color="auto"/>
                    <w:left w:val="none" w:sz="0" w:space="0" w:color="auto"/>
                    <w:bottom w:val="none" w:sz="0" w:space="0" w:color="auto"/>
                    <w:right w:val="none" w:sz="0" w:space="0" w:color="auto"/>
                  </w:divBdr>
                  <w:divsChild>
                    <w:div w:id="1464348819">
                      <w:marLeft w:val="0"/>
                      <w:marRight w:val="0"/>
                      <w:marTop w:val="0"/>
                      <w:marBottom w:val="0"/>
                      <w:divBdr>
                        <w:top w:val="none" w:sz="0" w:space="0" w:color="auto"/>
                        <w:left w:val="none" w:sz="0" w:space="0" w:color="auto"/>
                        <w:bottom w:val="none" w:sz="0" w:space="0" w:color="auto"/>
                        <w:right w:val="none" w:sz="0" w:space="0" w:color="auto"/>
                      </w:divBdr>
                      <w:divsChild>
                        <w:div w:id="1464348825">
                          <w:marLeft w:val="0"/>
                          <w:marRight w:val="0"/>
                          <w:marTop w:val="0"/>
                          <w:marBottom w:val="0"/>
                          <w:divBdr>
                            <w:top w:val="none" w:sz="0" w:space="0" w:color="auto"/>
                            <w:left w:val="none" w:sz="0" w:space="0" w:color="auto"/>
                            <w:bottom w:val="none" w:sz="0" w:space="0" w:color="auto"/>
                            <w:right w:val="none" w:sz="0" w:space="0" w:color="auto"/>
                          </w:divBdr>
                          <w:divsChild>
                            <w:div w:id="1464348810">
                              <w:marLeft w:val="0"/>
                              <w:marRight w:val="0"/>
                              <w:marTop w:val="0"/>
                              <w:marBottom w:val="0"/>
                              <w:divBdr>
                                <w:top w:val="none" w:sz="0" w:space="0" w:color="auto"/>
                                <w:left w:val="none" w:sz="0" w:space="0" w:color="auto"/>
                                <w:bottom w:val="none" w:sz="0" w:space="0" w:color="auto"/>
                                <w:right w:val="none" w:sz="0" w:space="0" w:color="auto"/>
                              </w:divBdr>
                              <w:divsChild>
                                <w:div w:id="1464348820">
                                  <w:marLeft w:val="0"/>
                                  <w:marRight w:val="0"/>
                                  <w:marTop w:val="0"/>
                                  <w:marBottom w:val="0"/>
                                  <w:divBdr>
                                    <w:top w:val="none" w:sz="0" w:space="0" w:color="auto"/>
                                    <w:left w:val="none" w:sz="0" w:space="0" w:color="auto"/>
                                    <w:bottom w:val="none" w:sz="0" w:space="0" w:color="auto"/>
                                    <w:right w:val="none" w:sz="0" w:space="0" w:color="auto"/>
                                  </w:divBdr>
                                  <w:divsChild>
                                    <w:div w:id="1464348811">
                                      <w:marLeft w:val="0"/>
                                      <w:marRight w:val="0"/>
                                      <w:marTop w:val="90"/>
                                      <w:marBottom w:val="0"/>
                                      <w:divBdr>
                                        <w:top w:val="none" w:sz="0" w:space="0" w:color="auto"/>
                                        <w:left w:val="none" w:sz="0" w:space="0" w:color="auto"/>
                                        <w:bottom w:val="none" w:sz="0" w:space="0" w:color="auto"/>
                                        <w:right w:val="none" w:sz="0" w:space="0" w:color="auto"/>
                                      </w:divBdr>
                                      <w:divsChild>
                                        <w:div w:id="1464348826">
                                          <w:marLeft w:val="0"/>
                                          <w:marRight w:val="0"/>
                                          <w:marTop w:val="0"/>
                                          <w:marBottom w:val="0"/>
                                          <w:divBdr>
                                            <w:top w:val="none" w:sz="0" w:space="0" w:color="auto"/>
                                            <w:left w:val="none" w:sz="0" w:space="0" w:color="auto"/>
                                            <w:bottom w:val="none" w:sz="0" w:space="0" w:color="auto"/>
                                            <w:right w:val="none" w:sz="0" w:space="0" w:color="auto"/>
                                          </w:divBdr>
                                          <w:divsChild>
                                            <w:div w:id="1464348816">
                                              <w:marLeft w:val="0"/>
                                              <w:marRight w:val="0"/>
                                              <w:marTop w:val="90"/>
                                              <w:marBottom w:val="0"/>
                                              <w:divBdr>
                                                <w:top w:val="none" w:sz="0" w:space="0" w:color="auto"/>
                                                <w:left w:val="none" w:sz="0" w:space="0" w:color="auto"/>
                                                <w:bottom w:val="none" w:sz="0" w:space="0" w:color="auto"/>
                                                <w:right w:val="none" w:sz="0" w:space="0" w:color="auto"/>
                                              </w:divBdr>
                                              <w:divsChild>
                                                <w:div w:id="1464348815">
                                                  <w:marLeft w:val="0"/>
                                                  <w:marRight w:val="0"/>
                                                  <w:marTop w:val="0"/>
                                                  <w:marBottom w:val="0"/>
                                                  <w:divBdr>
                                                    <w:top w:val="none" w:sz="0" w:space="0" w:color="auto"/>
                                                    <w:left w:val="none" w:sz="0" w:space="0" w:color="auto"/>
                                                    <w:bottom w:val="none" w:sz="0" w:space="0" w:color="auto"/>
                                                    <w:right w:val="none" w:sz="0" w:space="0" w:color="auto"/>
                                                  </w:divBdr>
                                                  <w:divsChild>
                                                    <w:div w:id="1464348809">
                                                      <w:marLeft w:val="0"/>
                                                      <w:marRight w:val="0"/>
                                                      <w:marTop w:val="0"/>
                                                      <w:marBottom w:val="0"/>
                                                      <w:divBdr>
                                                        <w:top w:val="none" w:sz="0" w:space="0" w:color="auto"/>
                                                        <w:left w:val="none" w:sz="0" w:space="0" w:color="auto"/>
                                                        <w:bottom w:val="none" w:sz="0" w:space="0" w:color="auto"/>
                                                        <w:right w:val="none" w:sz="0" w:space="0" w:color="auto"/>
                                                      </w:divBdr>
                                                      <w:divsChild>
                                                        <w:div w:id="1464348818">
                                                          <w:marLeft w:val="0"/>
                                                          <w:marRight w:val="0"/>
                                                          <w:marTop w:val="0"/>
                                                          <w:marBottom w:val="0"/>
                                                          <w:divBdr>
                                                            <w:top w:val="none" w:sz="0" w:space="0" w:color="auto"/>
                                                            <w:left w:val="none" w:sz="0" w:space="0" w:color="auto"/>
                                                            <w:bottom w:val="none" w:sz="0" w:space="0" w:color="auto"/>
                                                            <w:right w:val="none" w:sz="0" w:space="0" w:color="auto"/>
                                                          </w:divBdr>
                                                          <w:divsChild>
                                                            <w:div w:id="1464348824">
                                                              <w:marLeft w:val="0"/>
                                                              <w:marRight w:val="0"/>
                                                              <w:marTop w:val="0"/>
                                                              <w:marBottom w:val="0"/>
                                                              <w:divBdr>
                                                                <w:top w:val="none" w:sz="0" w:space="0" w:color="auto"/>
                                                                <w:left w:val="none" w:sz="0" w:space="0" w:color="auto"/>
                                                                <w:bottom w:val="none" w:sz="0" w:space="0" w:color="auto"/>
                                                                <w:right w:val="none" w:sz="0" w:space="0" w:color="auto"/>
                                                              </w:divBdr>
                                                              <w:divsChild>
                                                                <w:div w:id="1464348813">
                                                                  <w:marLeft w:val="0"/>
                                                                  <w:marRight w:val="0"/>
                                                                  <w:marTop w:val="0"/>
                                                                  <w:marBottom w:val="600"/>
                                                                  <w:divBdr>
                                                                    <w:top w:val="none" w:sz="0" w:space="0" w:color="auto"/>
                                                                    <w:left w:val="single" w:sz="12" w:space="8" w:color="EBEBEC"/>
                                                                    <w:bottom w:val="none" w:sz="0" w:space="0" w:color="auto"/>
                                                                    <w:right w:val="single" w:sz="12" w:space="8" w:color="EBEBEC"/>
                                                                  </w:divBdr>
                                                                  <w:divsChild>
                                                                    <w:div w:id="1464348817">
                                                                      <w:marLeft w:val="0"/>
                                                                      <w:marRight w:val="0"/>
                                                                      <w:marTop w:val="0"/>
                                                                      <w:marBottom w:val="450"/>
                                                                      <w:divBdr>
                                                                        <w:top w:val="none" w:sz="0" w:space="0" w:color="auto"/>
                                                                        <w:left w:val="none" w:sz="0" w:space="0" w:color="auto"/>
                                                                        <w:bottom w:val="none" w:sz="0" w:space="0" w:color="auto"/>
                                                                        <w:right w:val="none" w:sz="0" w:space="0" w:color="auto"/>
                                                                      </w:divBdr>
                                                                      <w:divsChild>
                                                                        <w:div w:id="146434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cebook.it/confcommerci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twitter.com/Confcommerc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1116</Words>
  <Characters>6367</Characters>
  <Application>Microsoft Office Outlook</Application>
  <DocSecurity>0</DocSecurity>
  <Lines>0</Lines>
  <Paragraphs>0</Paragraphs>
  <ScaleCrop>false</ScaleCrop>
  <Company>CONFCOMMERCIO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DIREZIONE COMUNICAZIONE E IMMAGINE</dc:title>
  <dc:subject/>
  <dc:creator>AREA COM. IMMAGINE</dc:creator>
  <cp:keywords/>
  <dc:description/>
  <cp:lastModifiedBy>Due</cp:lastModifiedBy>
  <cp:revision>2</cp:revision>
  <cp:lastPrinted>2013-03-13T17:53:00Z</cp:lastPrinted>
  <dcterms:created xsi:type="dcterms:W3CDTF">2013-03-18T12:42:00Z</dcterms:created>
  <dcterms:modified xsi:type="dcterms:W3CDTF">2013-03-18T12:42:00Z</dcterms:modified>
</cp:coreProperties>
</file>