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941" w:rsidRDefault="00E47941" w:rsidP="008E5EEE">
      <w:pPr>
        <w:snapToGrid w:val="0"/>
      </w:pPr>
      <w:r>
        <w:rPr>
          <w:noProof/>
        </w:rPr>
        <w:pict>
          <v:group id="_x0000_s1026" style="position:absolute;margin-left:21.6pt;margin-top:324.2pt;width:552.25pt;height:61.35pt;z-index:251658752;mso-position-horizontal-relative:page;mso-position-vertical-relative:page" coordorigin="432,6336" coordsize="11378,1227">
            <v:rect id="_x0000_s1027" style="position:absolute;left:432;top:6336;width:11016;height:1227;mso-position-horizontal-relative:page;mso-position-vertical-relative:page;v-text-anchor:bottom" fillcolor="#365f91" stroked="f">
              <v:textbox style="mso-next-textbox:#_x0000_s1027" inset="18pt,,1in,0">
                <w:txbxContent>
                  <w:p w:rsidR="00E47941" w:rsidRPr="0011686A" w:rsidRDefault="00E47941">
                    <w:pPr>
                      <w:snapToGrid w:val="0"/>
                      <w:spacing w:before="240" w:after="240"/>
                      <w:rPr>
                        <w:rFonts w:ascii="Cambria" w:hAnsi="Cambria"/>
                        <w:color w:val="FFFFFF"/>
                        <w:sz w:val="56"/>
                        <w:szCs w:val="56"/>
                      </w:rPr>
                    </w:pPr>
                    <w:r w:rsidRPr="0011686A">
                      <w:rPr>
                        <w:rFonts w:ascii="Cambria" w:hAnsi="Cambria"/>
                        <w:color w:val="FFFFFF"/>
                        <w:sz w:val="56"/>
                        <w:szCs w:val="56"/>
                      </w:rPr>
                      <w:t>Il CCNL ENERGIA</w:t>
                    </w:r>
                  </w:p>
                </w:txbxContent>
              </v:textbox>
            </v:rect>
            <v:rect id="_x0000_s1028" style="position:absolute;left:11449;top:6336;width:361;height:1227;mso-position-horizontal-relative:page;mso-position-vertical-relative:page" fillcolor="#8db3e2" stroked="f" strokecolor="#4a7ebb" strokeweight="1.5pt">
              <v:fill o:detectmouseclick="t"/>
              <v:shadow opacity="22938f" offset="0"/>
              <v:textbox inset=",7.2pt,,7.2pt"/>
            </v:rect>
            <w10:wrap anchorx="page" anchory="page"/>
          </v:group>
        </w:pict>
      </w:r>
      <w:r>
        <w:rPr>
          <w:noProof/>
        </w:rPr>
        <w:pict>
          <v:group id="_x0000_s1029" style="position:absolute;margin-left:21.6pt;margin-top:738.2pt;width:552.25pt;height:54.05pt;z-index:-251656704;mso-position-horizontal-relative:page;mso-position-vertical-relative:page" coordorigin="432,13608" coordsize="11376,1081">
            <v:shapetype id="_x0000_t32" coordsize="21600,21600" o:spt="32" o:oned="t" path="m,l21600,21600e" filled="f">
              <v:path arrowok="t" fillok="f" o:connecttype="none"/>
              <o:lock v:ext="edit" shapetype="t"/>
            </v:shapetype>
            <v:shape id="_x0000_s1030" type="#_x0000_t32" style="position:absolute;left:432;top:13608;width:11376;height:0;mso-position-horizontal-relative:page;mso-position-vertical-relative:page" o:connectortype="straight" strokecolor="gray"/>
            <v:shape id="_x0000_s1031" type="#_x0000_t32" style="position:absolute;left:432;top:14689;width:11376;height:0;mso-position-horizontal-relative:page;mso-position-vertical-relative:page" o:connectortype="straight" strokecolor="gray"/>
            <w10:wrap anchorx="page" anchory="page"/>
          </v:group>
        </w:pict>
      </w:r>
      <w:r>
        <w:rPr>
          <w:noProof/>
        </w:rPr>
        <w:pict>
          <v:rect id="_x0000_s1032" style="position:absolute;margin-left:21.6pt;margin-top:36pt;width:552.25pt;height:17.6pt;z-index:251657728;mso-wrap-edited:f;mso-position-horizontal-relative:page;mso-position-vertical-relative:page" fillcolor="#8db3e2" stroked="f" strokecolor="#4a7ebb" strokeweight="1.5pt">
            <v:fill o:detectmouseclick="t"/>
            <v:shadow opacity="22938f" offset="0"/>
            <v:textbox inset=",7.2pt,,7.2pt"/>
            <w10:wrap anchorx="page" anchory="page"/>
          </v:rect>
        </w:pict>
      </w:r>
      <w:r>
        <w:rPr>
          <w:noProof/>
        </w:rPr>
        <w:pict>
          <v:group id="_x0000_s1033" style="position:absolute;margin-left:364.5pt;margin-top:-385.7pt;width:143.25pt;height:60.75pt;z-index:251655680" coordorigin="8895,1230" coordsize="2865,1215">
            <v:shapetype id="_x0000_t202" coordsize="21600,21600" o:spt="202" path="m,l,21600r21600,l21600,xe">
              <v:stroke joinstyle="miter"/>
              <v:path gradientshapeok="t" o:connecttype="rect"/>
            </v:shapetype>
            <v:shape id="_x0000_s1034" type="#_x0000_t202" style="position:absolute;left:10290;top:1230;width:1470;height:1215" filled="f" stroked="f">
              <v:textbox style="mso-next-textbox:#_x0000_s1034">
                <w:txbxContent>
                  <w:p w:rsidR="00E47941" w:rsidRDefault="00E47941">
                    <w:pPr>
                      <w:rPr>
                        <w:color w:val="FFFFFF"/>
                        <w:sz w:val="92"/>
                        <w:szCs w:val="92"/>
                      </w:rPr>
                    </w:pPr>
                    <w:r>
                      <w:rPr>
                        <w:color w:val="FFFFFF"/>
                        <w:sz w:val="92"/>
                        <w:szCs w:val="92"/>
                      </w:rPr>
                      <w:t>08</w:t>
                    </w:r>
                  </w:p>
                </w:txbxContent>
              </v:textbox>
            </v:shape>
            <v:shape id="_x0000_s1035" type="#_x0000_t32" style="position:absolute;left:10290;top:1590;width:0;height:630" o:connectortype="straight" strokecolor="white" strokeweight="1.5pt"/>
            <v:shape id="_x0000_s1036" type="#_x0000_t202" style="position:absolute;left:8895;top:1455;width:1365;height:630" filled="f" stroked="f">
              <v:textbox style="mso-next-textbox:#_x0000_s1036">
                <w:txbxContent>
                  <w:p w:rsidR="00E47941" w:rsidRDefault="00E47941">
                    <w:pPr>
                      <w:jc w:val="right"/>
                      <w:rPr>
                        <w:b/>
                        <w:color w:val="FFFFFF"/>
                        <w:sz w:val="32"/>
                        <w:szCs w:val="32"/>
                      </w:rPr>
                    </w:pPr>
                    <w:r>
                      <w:rPr>
                        <w:b/>
                        <w:color w:val="FFFFFF"/>
                        <w:sz w:val="32"/>
                        <w:szCs w:val="32"/>
                      </w:rPr>
                      <w:t>Autunno</w:t>
                    </w:r>
                  </w:p>
                </w:txbxContent>
              </v:textbox>
            </v:shape>
          </v:group>
        </w:pict>
      </w: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r>
        <w:rPr>
          <w:noProof/>
        </w:rPr>
        <w:pict>
          <v:rect id="_x0000_s1037" style="position:absolute;margin-left:20.7pt;margin-top:385.85pt;width:464.4pt;height:318.8pt;z-index:251656704;mso-position-horizontal-relative:page;mso-position-vertical-relative:page" filled="f" stroked="f">
            <v:textbox style="mso-next-textbox:#_x0000_s1037">
              <w:txbxContent>
                <w:p w:rsidR="00E47941" w:rsidRPr="0011686A" w:rsidRDefault="00E47941">
                  <w:pPr>
                    <w:snapToGrid w:val="0"/>
                    <w:contextualSpacing/>
                    <w:rPr>
                      <w:rFonts w:ascii="Cambria" w:hAnsi="Cambria"/>
                      <w:color w:val="808080"/>
                      <w:sz w:val="40"/>
                      <w:szCs w:val="40"/>
                    </w:rPr>
                  </w:pPr>
                </w:p>
                <w:p w:rsidR="00E47941" w:rsidRPr="0011686A" w:rsidRDefault="00E47941">
                  <w:pPr>
                    <w:snapToGrid w:val="0"/>
                    <w:contextualSpacing/>
                    <w:rPr>
                      <w:rFonts w:ascii="Cambria" w:hAnsi="Cambria"/>
                      <w:color w:val="808080"/>
                    </w:rPr>
                  </w:pPr>
                </w:p>
              </w:txbxContent>
            </v:textbox>
            <w10:wrap anchorx="page" anchory="page"/>
          </v:rect>
        </w:pict>
      </w: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Default="00E47941" w:rsidP="008E5EEE">
      <w:pPr>
        <w:snapToGrid w:val="0"/>
      </w:pPr>
    </w:p>
    <w:p w:rsidR="00E47941" w:rsidRPr="008E5EEE" w:rsidRDefault="00E47941" w:rsidP="008E5EEE">
      <w:pPr>
        <w:rPr>
          <w:noProof/>
        </w:rPr>
      </w:pPr>
      <w:r w:rsidRPr="00612B4A">
        <w:rPr>
          <w:b/>
        </w:rPr>
        <w:t xml:space="preserve"> </w:t>
      </w:r>
    </w:p>
    <w:p w:rsidR="00E47941" w:rsidRDefault="00E47941"/>
    <w:p w:rsidR="00E47941" w:rsidRDefault="00E47941">
      <w:pPr>
        <w:rPr>
          <w:b/>
        </w:rPr>
      </w:pPr>
    </w:p>
    <w:p w:rsidR="00E47941" w:rsidRPr="00AD5F01" w:rsidRDefault="00E47941"/>
    <w:p w:rsidR="00E47941" w:rsidRPr="00471576" w:rsidRDefault="00E47941" w:rsidP="002135C5">
      <w:pPr>
        <w:snapToGrid w:val="0"/>
        <w:contextualSpacing/>
        <w:rPr>
          <w:rFonts w:ascii="Cambria" w:hAnsi="Cambria"/>
          <w:b/>
          <w:color w:val="548DD4"/>
        </w:rPr>
      </w:pPr>
      <w:r w:rsidRPr="00471576">
        <w:rPr>
          <w:rFonts w:ascii="Cambria" w:hAnsi="Cambria"/>
          <w:b/>
          <w:color w:val="548DD4"/>
        </w:rPr>
        <w:t>23 ottobre 2012</w:t>
      </w:r>
    </w:p>
    <w:p w:rsidR="00E47941" w:rsidRPr="00471576" w:rsidRDefault="00E47941">
      <w:pPr>
        <w:rPr>
          <w:b/>
          <w:color w:val="548DD4"/>
        </w:rPr>
      </w:pPr>
      <w:r w:rsidRPr="00471576">
        <w:rPr>
          <w:b/>
          <w:color w:val="548DD4"/>
        </w:rPr>
        <w:t>Premessa</w:t>
      </w:r>
    </w:p>
    <w:p w:rsidR="00E47941" w:rsidRPr="00471576" w:rsidRDefault="00E47941" w:rsidP="00DD182B">
      <w:pPr>
        <w:jc w:val="both"/>
        <w:rPr>
          <w:color w:val="548DD4"/>
        </w:rPr>
      </w:pPr>
      <w:r w:rsidRPr="00471576">
        <w:rPr>
          <w:color w:val="548DD4"/>
        </w:rPr>
        <w:t xml:space="preserve">L’andamento congiunturale e le prospettive di medio termine dell’economia impongono la definizione di una strategia innovativa delle relazioni industriali centrata sull’aumento della produttività come percorso obbligato per uscire dalla crisi. Tale percorso passa attraverso una rivisitazione delle finalità della contrattazione collettiva e dei suoi contenuti con l’adozione di tutte le opzioni tecniche virtuose atte a recuperare punti nello spread della produttività che ci divide dai Paesi europei più competitivi. </w:t>
      </w:r>
    </w:p>
    <w:p w:rsidR="00E47941" w:rsidRPr="00471576" w:rsidRDefault="00E47941" w:rsidP="0071273F">
      <w:pPr>
        <w:jc w:val="both"/>
        <w:rPr>
          <w:color w:val="548DD4"/>
        </w:rPr>
      </w:pPr>
      <w:r w:rsidRPr="00471576">
        <w:rPr>
          <w:color w:val="548DD4"/>
        </w:rPr>
        <w:t xml:space="preserve">Il Governo con la legge di stabilità e le Parti sociali tendono a muovere le poche risorse disponibili dal primo al secondo livello, incentivando tale operazione attraverso il finanziamento della detassazione del salario di produttività, riservandosi in futuro di valutare gli effetti di tale decisione e di verificare l’equilibrio del sistema. L’obiettivo è ridurre gli </w:t>
      </w:r>
      <w:r>
        <w:rPr>
          <w:color w:val="548DD4"/>
        </w:rPr>
        <w:t>“</w:t>
      </w:r>
      <w:r w:rsidRPr="00471576">
        <w:rPr>
          <w:color w:val="548DD4"/>
        </w:rPr>
        <w:t>incrementi automatici</w:t>
      </w:r>
      <w:r>
        <w:rPr>
          <w:color w:val="548DD4"/>
        </w:rPr>
        <w:t>”</w:t>
      </w:r>
      <w:r w:rsidRPr="00471576">
        <w:rPr>
          <w:color w:val="548DD4"/>
        </w:rPr>
        <w:t xml:space="preserve"> dei contratti nazionali legando quanto più possibile l’aumento del salario ai fattori di flessibilità del lavoro.</w:t>
      </w:r>
    </w:p>
    <w:p w:rsidR="00E47941" w:rsidRPr="00471576" w:rsidRDefault="00E47941" w:rsidP="00581085">
      <w:pPr>
        <w:jc w:val="both"/>
        <w:rPr>
          <w:color w:val="548DD4"/>
        </w:rPr>
      </w:pPr>
      <w:r w:rsidRPr="00471576">
        <w:rPr>
          <w:color w:val="548DD4"/>
        </w:rPr>
        <w:t xml:space="preserve">Per confermare l’attuale assetto contrattuale occorre mantenere in equilibrio i due livelli. </w:t>
      </w:r>
    </w:p>
    <w:p w:rsidR="00E47941" w:rsidRPr="00471576" w:rsidRDefault="00E47941" w:rsidP="00581085">
      <w:pPr>
        <w:jc w:val="both"/>
        <w:rPr>
          <w:color w:val="548DD4"/>
        </w:rPr>
      </w:pPr>
      <w:r w:rsidRPr="00471576">
        <w:rPr>
          <w:color w:val="548DD4"/>
        </w:rPr>
        <w:t xml:space="preserve">Il settore dell’energia si distingue per avere introdotto da tempo la contrattazione di secondo livello con i premi di produttività/partecipazione che vanno più legati ai risultati economici dell’azienda. </w:t>
      </w:r>
    </w:p>
    <w:p w:rsidR="00E47941" w:rsidRPr="00471576" w:rsidRDefault="00E47941" w:rsidP="00581085">
      <w:pPr>
        <w:jc w:val="both"/>
        <w:rPr>
          <w:color w:val="548DD4"/>
        </w:rPr>
      </w:pPr>
      <w:r w:rsidRPr="00471576">
        <w:rPr>
          <w:color w:val="548DD4"/>
        </w:rPr>
        <w:t xml:space="preserve">Per la difesa del contratto nazionale, è </w:t>
      </w:r>
      <w:r>
        <w:rPr>
          <w:color w:val="548DD4"/>
        </w:rPr>
        <w:t xml:space="preserve">anche </w:t>
      </w:r>
      <w:r w:rsidRPr="00471576">
        <w:rPr>
          <w:color w:val="548DD4"/>
        </w:rPr>
        <w:t>sul primo livello, che le Parti intendono operare un significativo cambiamento dell’impianto salariale riallocando le risorse economiche attraverso meccanismi virtuosi e premianti che incentivino la produttività e la competitività.</w:t>
      </w:r>
    </w:p>
    <w:p w:rsidR="00E47941" w:rsidRPr="00471576" w:rsidRDefault="00E47941" w:rsidP="00581085">
      <w:pPr>
        <w:jc w:val="both"/>
        <w:rPr>
          <w:color w:val="548DD4"/>
        </w:rPr>
      </w:pPr>
      <w:r w:rsidRPr="00471576">
        <w:rPr>
          <w:color w:val="548DD4"/>
        </w:rPr>
        <w:t>La collaborazione partecipativa che ha sempre caratterizzato le relazioni industriali di settore faciliterà la contrattazione nazionale nello spostamento dell’enfasi dalle definizione delle regole alla condivisione degli obiettivi per permettere al livello aziendale di innovare con più efficacia e tempestività.</w:t>
      </w:r>
    </w:p>
    <w:p w:rsidR="00E47941" w:rsidRPr="00471576" w:rsidRDefault="00E47941" w:rsidP="0071273F">
      <w:pPr>
        <w:jc w:val="both"/>
        <w:rPr>
          <w:color w:val="548DD4"/>
        </w:rPr>
      </w:pPr>
      <w:r w:rsidRPr="00471576">
        <w:rPr>
          <w:color w:val="548DD4"/>
        </w:rPr>
        <w:t xml:space="preserve">Con tali premesse, le parti sono consapevoli che, in una fase recessiva come quella in atto, le misure incentivanti per la contrattazione di secondo livello costituiscono uno stimolo utile, ma insufficiente per il salto di produttività </w:t>
      </w:r>
      <w:r>
        <w:rPr>
          <w:color w:val="548DD4"/>
        </w:rPr>
        <w:t xml:space="preserve">e redditività </w:t>
      </w:r>
      <w:r w:rsidRPr="00471576">
        <w:rPr>
          <w:color w:val="548DD4"/>
        </w:rPr>
        <w:t>necessari</w:t>
      </w:r>
      <w:r>
        <w:rPr>
          <w:color w:val="548DD4"/>
        </w:rPr>
        <w:t>e</w:t>
      </w:r>
      <w:r w:rsidRPr="00471576">
        <w:rPr>
          <w:color w:val="548DD4"/>
        </w:rPr>
        <w:t xml:space="preserve"> per continuare a competere in Europa.</w:t>
      </w:r>
    </w:p>
    <w:p w:rsidR="00E47941" w:rsidRPr="00471576" w:rsidRDefault="00E47941" w:rsidP="00DD182B">
      <w:pPr>
        <w:jc w:val="both"/>
        <w:rPr>
          <w:color w:val="548DD4"/>
        </w:rPr>
      </w:pPr>
      <w:r w:rsidRPr="00471576">
        <w:rPr>
          <w:color w:val="548DD4"/>
        </w:rPr>
        <w:t>Confindustria Energia e Filctem, Femca, Uilcem, con la sottoscrizione del Protocollo del 18 luglio 2011, hanno disegnato un nuovo modello contrattuale che si fonda su tre assunti valoriali fondativi del rapporto contrattuale: patti chiari, apprezzamento del merito e solidarietà. Le Parti hanno così condiviso l’opportunità di sfidare il cambiamento su come conciliare le legittime attese dei lavoratori con le ridotte disponibilità delle aziende e in taluni casi, con le indisponibilità di quelle in perdita.</w:t>
      </w:r>
    </w:p>
    <w:p w:rsidR="00E47941" w:rsidRPr="00471576" w:rsidRDefault="00E47941" w:rsidP="007E1CEA">
      <w:pPr>
        <w:jc w:val="both"/>
        <w:rPr>
          <w:color w:val="548DD4"/>
        </w:rPr>
      </w:pPr>
      <w:r w:rsidRPr="00471576">
        <w:rPr>
          <w:color w:val="548DD4"/>
        </w:rPr>
        <w:t>La crisi economica e produttiva spinge dunque ad accelerare i tempi per la realizzazione del nuovo modello contrattuale dell’energia già prefigurato nel rinnovo contrattuale del CCNL Energia e Petrolio del 23 marzo 2010  e avviato con il Protocollo del 18 luglio 2011.</w:t>
      </w:r>
    </w:p>
    <w:p w:rsidR="00E47941" w:rsidRPr="00471576" w:rsidRDefault="00E47941" w:rsidP="007E1CEA">
      <w:pPr>
        <w:jc w:val="both"/>
        <w:rPr>
          <w:color w:val="548DD4"/>
        </w:rPr>
      </w:pPr>
    </w:p>
    <w:p w:rsidR="00E47941" w:rsidRPr="00471576" w:rsidRDefault="00E47941" w:rsidP="007E1CEA">
      <w:pPr>
        <w:jc w:val="both"/>
        <w:rPr>
          <w:color w:val="548DD4"/>
        </w:rPr>
      </w:pPr>
    </w:p>
    <w:p w:rsidR="00E47941" w:rsidRDefault="00E47941" w:rsidP="0091302E">
      <w:pPr>
        <w:rPr>
          <w:b/>
          <w:color w:val="548DD4"/>
        </w:rPr>
      </w:pPr>
    </w:p>
    <w:p w:rsidR="00E47941" w:rsidRPr="00471576" w:rsidRDefault="00E47941" w:rsidP="0091302E">
      <w:pPr>
        <w:rPr>
          <w:b/>
          <w:color w:val="548DD4"/>
        </w:rPr>
      </w:pPr>
      <w:r w:rsidRPr="00471576">
        <w:rPr>
          <w:b/>
          <w:color w:val="548DD4"/>
        </w:rPr>
        <w:t xml:space="preserve">Perimetro contrattuale </w:t>
      </w:r>
    </w:p>
    <w:p w:rsidR="00E47941" w:rsidRPr="00471576" w:rsidRDefault="00E47941" w:rsidP="00E668A7">
      <w:pPr>
        <w:jc w:val="both"/>
        <w:rPr>
          <w:color w:val="548DD4"/>
        </w:rPr>
      </w:pPr>
      <w:r w:rsidRPr="00471576">
        <w:rPr>
          <w:color w:val="548DD4"/>
        </w:rPr>
        <w:t>La complessità del progetto e la frammentazione della rappresentanza imprenditoriale guidano la progressione del progetto di costruzione del CCNL Energia. Tale progressione è disegnata anche per agevolare in un futuro prossimo l’allargamento della partecipazione al progetto.</w:t>
      </w:r>
    </w:p>
    <w:p w:rsidR="00E47941" w:rsidRPr="00471576" w:rsidRDefault="00E47941" w:rsidP="00E668A7">
      <w:pPr>
        <w:jc w:val="both"/>
        <w:rPr>
          <w:color w:val="548DD4"/>
        </w:rPr>
      </w:pPr>
      <w:r w:rsidRPr="00471576">
        <w:rPr>
          <w:color w:val="548DD4"/>
        </w:rPr>
        <w:t>La concretezza del progetto è data dalla coincidenza tra la realizzazione delle varie fasi di costruzione del contratto con le dinamiche salariali.</w:t>
      </w:r>
    </w:p>
    <w:p w:rsidR="00E47941" w:rsidRPr="00471576" w:rsidRDefault="00E47941" w:rsidP="00E668A7">
      <w:pPr>
        <w:jc w:val="both"/>
        <w:rPr>
          <w:color w:val="548DD4"/>
        </w:rPr>
      </w:pPr>
      <w:r w:rsidRPr="00471576">
        <w:rPr>
          <w:color w:val="548DD4"/>
        </w:rPr>
        <w:t>IL CCNL Energia presenterà una parte comune trasversale ed un’articolazione per settori. In questa fase, si sviluppa il progetto per i primi due: Pe</w:t>
      </w:r>
      <w:r>
        <w:rPr>
          <w:color w:val="548DD4"/>
        </w:rPr>
        <w:t>trolio e, parzialmente, Gas.</w:t>
      </w:r>
    </w:p>
    <w:p w:rsidR="00E47941" w:rsidRPr="00471576" w:rsidRDefault="00E47941" w:rsidP="00E668A7">
      <w:pPr>
        <w:jc w:val="both"/>
        <w:rPr>
          <w:color w:val="548DD4"/>
        </w:rPr>
      </w:pPr>
    </w:p>
    <w:p w:rsidR="00E47941" w:rsidRPr="00471576" w:rsidRDefault="00E47941" w:rsidP="00E668A7">
      <w:pPr>
        <w:jc w:val="both"/>
        <w:rPr>
          <w:b/>
          <w:color w:val="548DD4"/>
        </w:rPr>
      </w:pPr>
      <w:r w:rsidRPr="00471576">
        <w:rPr>
          <w:b/>
          <w:color w:val="548DD4"/>
        </w:rPr>
        <w:t>Caratteristiche generali del contratto</w:t>
      </w:r>
    </w:p>
    <w:p w:rsidR="00E47941" w:rsidRPr="00471576" w:rsidRDefault="00E47941" w:rsidP="00E668A7">
      <w:pPr>
        <w:jc w:val="both"/>
        <w:rPr>
          <w:color w:val="548DD4"/>
        </w:rPr>
      </w:pPr>
      <w:r w:rsidRPr="00471576">
        <w:rPr>
          <w:color w:val="548DD4"/>
        </w:rPr>
        <w:t>Le Parti intendono procedere alla stesura del nuovo contratto innovando anche da un punto di vista formale e redazionale. Il nuovo testo dovrà rispondere alle seguenti caratteristiche:</w:t>
      </w:r>
    </w:p>
    <w:p w:rsidR="00E47941" w:rsidRPr="00471576" w:rsidRDefault="00E47941" w:rsidP="00342332">
      <w:pPr>
        <w:numPr>
          <w:ilvl w:val="0"/>
          <w:numId w:val="2"/>
        </w:numPr>
        <w:jc w:val="both"/>
        <w:rPr>
          <w:color w:val="548DD4"/>
        </w:rPr>
      </w:pPr>
      <w:r w:rsidRPr="00471576">
        <w:rPr>
          <w:color w:val="548DD4"/>
        </w:rPr>
        <w:t>redigere la normativa concordata senza appesantimenti legati, in via esemplificativa, all’inclusione della legislazione normativa vigente facilmente reperibile in rete;</w:t>
      </w:r>
    </w:p>
    <w:p w:rsidR="00E47941" w:rsidRPr="00471576" w:rsidRDefault="00E47941" w:rsidP="00342332">
      <w:pPr>
        <w:numPr>
          <w:ilvl w:val="0"/>
          <w:numId w:val="2"/>
        </w:numPr>
        <w:jc w:val="both"/>
        <w:rPr>
          <w:color w:val="548DD4"/>
        </w:rPr>
      </w:pPr>
      <w:r w:rsidRPr="00471576">
        <w:rPr>
          <w:color w:val="548DD4"/>
        </w:rPr>
        <w:t>superare le norme non praticate;</w:t>
      </w:r>
    </w:p>
    <w:p w:rsidR="00E47941" w:rsidRPr="00471576" w:rsidRDefault="00E47941" w:rsidP="00342332">
      <w:pPr>
        <w:numPr>
          <w:ilvl w:val="0"/>
          <w:numId w:val="2"/>
        </w:numPr>
        <w:jc w:val="both"/>
        <w:rPr>
          <w:color w:val="548DD4"/>
        </w:rPr>
      </w:pPr>
      <w:r w:rsidRPr="00471576">
        <w:rPr>
          <w:color w:val="548DD4"/>
        </w:rPr>
        <w:t>aggiornare la normativa tenendo conto delle novità legislative intervenute nell’ottica di una semplificazione delle regole in funzione della produttività e competitività;</w:t>
      </w:r>
    </w:p>
    <w:p w:rsidR="00E47941" w:rsidRPr="00471576" w:rsidRDefault="00E47941" w:rsidP="00342332">
      <w:pPr>
        <w:numPr>
          <w:ilvl w:val="0"/>
          <w:numId w:val="2"/>
        </w:numPr>
        <w:jc w:val="both"/>
        <w:rPr>
          <w:color w:val="548DD4"/>
        </w:rPr>
      </w:pPr>
      <w:r w:rsidRPr="00471576">
        <w:rPr>
          <w:color w:val="548DD4"/>
        </w:rPr>
        <w:t>formulare opzioni gestionali offerte al secondo livello.</w:t>
      </w:r>
    </w:p>
    <w:p w:rsidR="00E47941" w:rsidRPr="00471576" w:rsidRDefault="00E47941" w:rsidP="0025159B">
      <w:pPr>
        <w:tabs>
          <w:tab w:val="left" w:pos="519"/>
        </w:tabs>
        <w:jc w:val="both"/>
        <w:rPr>
          <w:color w:val="548DD4"/>
        </w:rPr>
      </w:pPr>
    </w:p>
    <w:p w:rsidR="00E47941" w:rsidRPr="00471576" w:rsidRDefault="00E47941" w:rsidP="009766FC">
      <w:pPr>
        <w:jc w:val="both"/>
        <w:rPr>
          <w:b/>
          <w:color w:val="548DD4"/>
        </w:rPr>
      </w:pPr>
      <w:r w:rsidRPr="00471576">
        <w:rPr>
          <w:b/>
          <w:color w:val="548DD4"/>
        </w:rPr>
        <w:t>La collaborazione partecipativa</w:t>
      </w:r>
    </w:p>
    <w:p w:rsidR="00E47941" w:rsidRPr="00471576" w:rsidRDefault="00E47941" w:rsidP="009766FC">
      <w:pPr>
        <w:jc w:val="both"/>
        <w:rPr>
          <w:color w:val="548DD4"/>
        </w:rPr>
      </w:pPr>
      <w:r w:rsidRPr="00471576">
        <w:rPr>
          <w:color w:val="548DD4"/>
        </w:rPr>
        <w:t>Le Parti, consapevoli di aver costruito nel tempo un modello di relazioni industriali partecipativo, intendono affinarlo nella chiarezza e trasparenza dei reciproci ruoli.</w:t>
      </w:r>
    </w:p>
    <w:p w:rsidR="00E47941" w:rsidRPr="00471576" w:rsidRDefault="00E47941" w:rsidP="009766FC">
      <w:pPr>
        <w:jc w:val="both"/>
        <w:rPr>
          <w:color w:val="548DD4"/>
        </w:rPr>
      </w:pPr>
      <w:r w:rsidRPr="00471576">
        <w:rPr>
          <w:color w:val="548DD4"/>
        </w:rPr>
        <w:t>Si condividono, a tal riguardo, le seguenti premesse attraverso le quali il nuovo modello di “Collaborazione partecipativa” potrà determinarsi nel settore dell’energia:</w:t>
      </w:r>
    </w:p>
    <w:p w:rsidR="00E47941" w:rsidRDefault="00E47941" w:rsidP="00342332">
      <w:pPr>
        <w:numPr>
          <w:ilvl w:val="0"/>
          <w:numId w:val="3"/>
        </w:numPr>
        <w:jc w:val="both"/>
        <w:rPr>
          <w:color w:val="548DD4"/>
        </w:rPr>
      </w:pPr>
      <w:r w:rsidRPr="00471576">
        <w:rPr>
          <w:color w:val="548DD4"/>
        </w:rPr>
        <w:t>condivisione del valore della crescita della produttività</w:t>
      </w:r>
      <w:r>
        <w:rPr>
          <w:color w:val="548DD4"/>
        </w:rPr>
        <w:t xml:space="preserve"> e </w:t>
      </w:r>
    </w:p>
    <w:p w:rsidR="00E47941" w:rsidRPr="00471576" w:rsidRDefault="00E47941" w:rsidP="00342332">
      <w:pPr>
        <w:numPr>
          <w:ilvl w:val="0"/>
          <w:numId w:val="3"/>
        </w:numPr>
        <w:jc w:val="both"/>
        <w:rPr>
          <w:color w:val="548DD4"/>
        </w:rPr>
      </w:pPr>
      <w:r>
        <w:rPr>
          <w:color w:val="548DD4"/>
        </w:rPr>
        <w:t>redditività</w:t>
      </w:r>
      <w:r w:rsidRPr="00471576">
        <w:rPr>
          <w:color w:val="548DD4"/>
        </w:rPr>
        <w:t>;</w:t>
      </w:r>
    </w:p>
    <w:p w:rsidR="00E47941" w:rsidRPr="00471576" w:rsidRDefault="00E47941" w:rsidP="00342332">
      <w:pPr>
        <w:numPr>
          <w:ilvl w:val="0"/>
          <w:numId w:val="3"/>
        </w:numPr>
        <w:jc w:val="both"/>
        <w:rPr>
          <w:color w:val="548DD4"/>
        </w:rPr>
      </w:pPr>
      <w:r w:rsidRPr="00471576">
        <w:rPr>
          <w:color w:val="548DD4"/>
        </w:rPr>
        <w:t>cooperazione tra management e sindacati per il raggiungimento di obiettivi condivisi;</w:t>
      </w:r>
    </w:p>
    <w:p w:rsidR="00E47941" w:rsidRPr="00471576" w:rsidRDefault="00E47941" w:rsidP="00342332">
      <w:pPr>
        <w:numPr>
          <w:ilvl w:val="0"/>
          <w:numId w:val="3"/>
        </w:numPr>
        <w:jc w:val="both"/>
        <w:rPr>
          <w:color w:val="548DD4"/>
        </w:rPr>
      </w:pPr>
      <w:r w:rsidRPr="00471576">
        <w:rPr>
          <w:color w:val="548DD4"/>
        </w:rPr>
        <w:t>ruolo del sindacato anche come facilitatore di processi;</w:t>
      </w:r>
    </w:p>
    <w:p w:rsidR="00E47941" w:rsidRPr="00471576" w:rsidRDefault="00E47941" w:rsidP="00342332">
      <w:pPr>
        <w:numPr>
          <w:ilvl w:val="0"/>
          <w:numId w:val="3"/>
        </w:numPr>
        <w:jc w:val="both"/>
        <w:rPr>
          <w:color w:val="548DD4"/>
        </w:rPr>
      </w:pPr>
      <w:r w:rsidRPr="00471576">
        <w:rPr>
          <w:color w:val="548DD4"/>
        </w:rPr>
        <w:t>pragmatismo per conciliare la complessità di contesto, i vincoli della rappresentanza</w:t>
      </w:r>
      <w:r>
        <w:rPr>
          <w:color w:val="548DD4"/>
        </w:rPr>
        <w:t xml:space="preserve"> e</w:t>
      </w:r>
      <w:r w:rsidRPr="00471576">
        <w:rPr>
          <w:color w:val="548DD4"/>
        </w:rPr>
        <w:t xml:space="preserve"> la</w:t>
      </w:r>
      <w:r>
        <w:rPr>
          <w:color w:val="548DD4"/>
        </w:rPr>
        <w:t xml:space="preserve"> tempestività delle decisioni, per perseguire</w:t>
      </w:r>
      <w:r w:rsidRPr="00471576">
        <w:rPr>
          <w:color w:val="548DD4"/>
        </w:rPr>
        <w:t xml:space="preserve"> risultati tangibili e immediati;</w:t>
      </w:r>
    </w:p>
    <w:p w:rsidR="00E47941" w:rsidRPr="00471576" w:rsidRDefault="00E47941" w:rsidP="00342332">
      <w:pPr>
        <w:numPr>
          <w:ilvl w:val="0"/>
          <w:numId w:val="3"/>
        </w:numPr>
        <w:jc w:val="both"/>
        <w:rPr>
          <w:color w:val="548DD4"/>
        </w:rPr>
      </w:pPr>
      <w:r w:rsidRPr="00471576">
        <w:rPr>
          <w:color w:val="548DD4"/>
        </w:rPr>
        <w:t>valorizzazione della formazione congiunta per la condivisione dello scenario di riferimento e degli strumenti in grado di gestire il cambiamento;</w:t>
      </w:r>
    </w:p>
    <w:p w:rsidR="00E47941" w:rsidRPr="00471576" w:rsidRDefault="00E47941" w:rsidP="00342332">
      <w:pPr>
        <w:numPr>
          <w:ilvl w:val="0"/>
          <w:numId w:val="3"/>
        </w:numPr>
        <w:jc w:val="both"/>
        <w:rPr>
          <w:color w:val="548DD4"/>
        </w:rPr>
      </w:pPr>
      <w:r w:rsidRPr="00471576">
        <w:rPr>
          <w:color w:val="548DD4"/>
        </w:rPr>
        <w:t>istituzione della conferenza annuale sull’energia.</w:t>
      </w:r>
    </w:p>
    <w:p w:rsidR="00E47941" w:rsidRPr="00471576" w:rsidRDefault="00E47941" w:rsidP="003C1AC8">
      <w:pPr>
        <w:ind w:left="360"/>
        <w:jc w:val="both"/>
        <w:rPr>
          <w:color w:val="548DD4"/>
        </w:rPr>
      </w:pPr>
    </w:p>
    <w:p w:rsidR="00E47941" w:rsidRPr="00471576" w:rsidRDefault="00E47941" w:rsidP="00AF7318">
      <w:pPr>
        <w:jc w:val="both"/>
        <w:rPr>
          <w:color w:val="548DD4"/>
        </w:rPr>
      </w:pPr>
      <w:r w:rsidRPr="00471576">
        <w:rPr>
          <w:color w:val="548DD4"/>
        </w:rPr>
        <w:t xml:space="preserve">La “collaborazione partecipativa”, in sintesi, si </w:t>
      </w:r>
      <w:r>
        <w:rPr>
          <w:color w:val="548DD4"/>
        </w:rPr>
        <w:t xml:space="preserve">realizza con un sistema </w:t>
      </w:r>
      <w:r w:rsidRPr="00471576">
        <w:rPr>
          <w:color w:val="548DD4"/>
        </w:rPr>
        <w:t xml:space="preserve">di informazione e consultazione </w:t>
      </w:r>
      <w:r>
        <w:rPr>
          <w:color w:val="548DD4"/>
        </w:rPr>
        <w:t>tra le</w:t>
      </w:r>
      <w:r w:rsidRPr="00471576">
        <w:rPr>
          <w:color w:val="548DD4"/>
        </w:rPr>
        <w:t xml:space="preserve"> imprese </w:t>
      </w:r>
      <w:r>
        <w:rPr>
          <w:color w:val="548DD4"/>
        </w:rPr>
        <w:t xml:space="preserve">e le </w:t>
      </w:r>
      <w:r w:rsidRPr="00471576">
        <w:rPr>
          <w:color w:val="548DD4"/>
        </w:rPr>
        <w:t>O</w:t>
      </w:r>
      <w:r>
        <w:rPr>
          <w:color w:val="548DD4"/>
        </w:rPr>
        <w:t>rganizzazioni Sindacali</w:t>
      </w:r>
      <w:r w:rsidRPr="00471576">
        <w:rPr>
          <w:color w:val="548DD4"/>
        </w:rPr>
        <w:t xml:space="preserve"> e di procedure di verifica dell’applicazione e degli esiti di piani </w:t>
      </w:r>
      <w:r>
        <w:rPr>
          <w:color w:val="548DD4"/>
        </w:rPr>
        <w:t>per la realizzazione di obiettivi condivisi.</w:t>
      </w:r>
    </w:p>
    <w:p w:rsidR="00E47941" w:rsidRPr="00471576" w:rsidRDefault="00E47941" w:rsidP="00AF7318">
      <w:pPr>
        <w:jc w:val="both"/>
        <w:rPr>
          <w:b/>
          <w:color w:val="548DD4"/>
        </w:rPr>
      </w:pPr>
    </w:p>
    <w:p w:rsidR="00E47941" w:rsidRPr="00471576" w:rsidRDefault="00E47941" w:rsidP="00AF7318">
      <w:pPr>
        <w:jc w:val="both"/>
        <w:rPr>
          <w:b/>
          <w:color w:val="548DD4"/>
        </w:rPr>
      </w:pPr>
      <w:r w:rsidRPr="00471576">
        <w:rPr>
          <w:b/>
          <w:color w:val="548DD4"/>
        </w:rPr>
        <w:t>Novità del CCNL Energia</w:t>
      </w:r>
    </w:p>
    <w:p w:rsidR="00E47941" w:rsidRDefault="00E47941" w:rsidP="007E1CEA">
      <w:pPr>
        <w:jc w:val="both"/>
        <w:rPr>
          <w:color w:val="548DD4"/>
          <w:u w:val="single"/>
        </w:rPr>
      </w:pPr>
    </w:p>
    <w:p w:rsidR="00E47941" w:rsidRPr="00471576" w:rsidRDefault="00E47941" w:rsidP="007E1CEA">
      <w:pPr>
        <w:jc w:val="both"/>
        <w:rPr>
          <w:color w:val="548DD4"/>
          <w:u w:val="single"/>
        </w:rPr>
      </w:pPr>
      <w:r w:rsidRPr="00471576">
        <w:rPr>
          <w:color w:val="548DD4"/>
          <w:u w:val="single"/>
        </w:rPr>
        <w:t>1° livello nazionale</w:t>
      </w:r>
    </w:p>
    <w:p w:rsidR="00E47941" w:rsidRDefault="00E47941" w:rsidP="00A81ACE">
      <w:pPr>
        <w:jc w:val="both"/>
        <w:rPr>
          <w:color w:val="548DD4"/>
        </w:rPr>
      </w:pPr>
      <w:r>
        <w:rPr>
          <w:color w:val="548DD4"/>
        </w:rPr>
        <w:t xml:space="preserve">L’esperienza positiva maturata con il C.R.E.A. rappresenta il presupposto per passare ad un sistema caratterizzato da semplicità ed immediatezza funzionali. Viene pertanto istituito il premio annuale di produttività individuale che supera logicamente sia l’istituto del C.R.E.A. che quello degli aumenti periodici di anzianità. </w:t>
      </w:r>
    </w:p>
    <w:p w:rsidR="00E47941" w:rsidRPr="00471576" w:rsidRDefault="00E47941" w:rsidP="00A81ACE">
      <w:pPr>
        <w:jc w:val="both"/>
        <w:rPr>
          <w:color w:val="548DD4"/>
        </w:rPr>
      </w:pPr>
      <w:r w:rsidRPr="00471576">
        <w:rPr>
          <w:color w:val="548DD4"/>
        </w:rPr>
        <w:t>Si concorda, al riguardo, di congelare nella retribuzione individuale il maturato di entrambi gli istituti.</w:t>
      </w:r>
    </w:p>
    <w:p w:rsidR="00E47941" w:rsidRPr="00471576" w:rsidRDefault="00E47941" w:rsidP="007E1CEA">
      <w:pPr>
        <w:jc w:val="both"/>
        <w:rPr>
          <w:color w:val="548DD4"/>
        </w:rPr>
      </w:pPr>
    </w:p>
    <w:p w:rsidR="00E47941" w:rsidRPr="00471576" w:rsidRDefault="00E47941" w:rsidP="007E1CEA">
      <w:pPr>
        <w:jc w:val="both"/>
        <w:rPr>
          <w:color w:val="548DD4"/>
          <w:u w:val="single"/>
        </w:rPr>
      </w:pPr>
      <w:r w:rsidRPr="00471576">
        <w:rPr>
          <w:color w:val="548DD4"/>
          <w:u w:val="single"/>
        </w:rPr>
        <w:t>2° livello aziendale</w:t>
      </w:r>
    </w:p>
    <w:p w:rsidR="00E47941" w:rsidRPr="00471576" w:rsidRDefault="00E47941" w:rsidP="007E1CEA">
      <w:pPr>
        <w:jc w:val="both"/>
        <w:rPr>
          <w:color w:val="548DD4"/>
        </w:rPr>
      </w:pPr>
      <w:r w:rsidRPr="00471576">
        <w:rPr>
          <w:color w:val="548DD4"/>
        </w:rPr>
        <w:t>La variabilità dei premi è fondamentale per il mantenimento dei due livelli: dovranno distinguersi per l’alto margine di variabilità e prenderanno il nome di premi di risultato per evidenziare la loro stretta correlazione sia con la produttività, sia con la redditività.</w:t>
      </w:r>
    </w:p>
    <w:p w:rsidR="00E47941" w:rsidRPr="00471576" w:rsidRDefault="00E47941" w:rsidP="007E1CEA">
      <w:pPr>
        <w:jc w:val="both"/>
        <w:rPr>
          <w:color w:val="548DD4"/>
        </w:rPr>
      </w:pPr>
      <w:r w:rsidRPr="00471576">
        <w:rPr>
          <w:color w:val="548DD4"/>
        </w:rPr>
        <w:t xml:space="preserve">Occorrerà prevedere ulteriori parametri per misurare il “risultato” e nuovi meccanismi per </w:t>
      </w:r>
      <w:r>
        <w:rPr>
          <w:color w:val="548DD4"/>
        </w:rPr>
        <w:t>tener conto dell’introduzione del</w:t>
      </w:r>
      <w:r w:rsidRPr="00471576">
        <w:rPr>
          <w:color w:val="548DD4"/>
        </w:rPr>
        <w:t xml:space="preserve"> nuovo PPI (Premio Produttività Individuale). </w:t>
      </w:r>
    </w:p>
    <w:p w:rsidR="00E47941" w:rsidRPr="00471576" w:rsidRDefault="00E47941" w:rsidP="007E1CEA">
      <w:pPr>
        <w:jc w:val="both"/>
        <w:rPr>
          <w:color w:val="548DD4"/>
        </w:rPr>
      </w:pPr>
      <w:r w:rsidRPr="00471576">
        <w:rPr>
          <w:color w:val="548DD4"/>
        </w:rPr>
        <w:t>I programmi di formazione congiunta potranno agevol</w:t>
      </w:r>
      <w:r>
        <w:rPr>
          <w:color w:val="548DD4"/>
        </w:rPr>
        <w:t>are</w:t>
      </w:r>
      <w:r w:rsidRPr="00471576">
        <w:rPr>
          <w:color w:val="548DD4"/>
        </w:rPr>
        <w:t xml:space="preserve"> le Parti per individuare il modello del nuovo “Premio di risultato” più adeguato alle specifiche realtà aziendali.</w:t>
      </w:r>
    </w:p>
    <w:p w:rsidR="00E47941" w:rsidRDefault="00E47941" w:rsidP="007E1CEA">
      <w:pPr>
        <w:jc w:val="both"/>
        <w:rPr>
          <w:color w:val="548DD4"/>
        </w:rPr>
      </w:pPr>
    </w:p>
    <w:p w:rsidR="00E47941" w:rsidRPr="00471576" w:rsidRDefault="00E47941" w:rsidP="007E1CEA">
      <w:pPr>
        <w:jc w:val="both"/>
        <w:rPr>
          <w:color w:val="548DD4"/>
        </w:rPr>
      </w:pPr>
    </w:p>
    <w:p w:rsidR="00E47941" w:rsidRPr="00F461D6" w:rsidRDefault="00E47941" w:rsidP="007E1CEA">
      <w:pPr>
        <w:jc w:val="both"/>
        <w:rPr>
          <w:color w:val="548DD4"/>
        </w:rPr>
      </w:pPr>
      <w:r w:rsidRPr="00F461D6">
        <w:rPr>
          <w:color w:val="548DD4"/>
        </w:rPr>
        <w:t>Al fine</w:t>
      </w:r>
      <w:r>
        <w:rPr>
          <w:color w:val="548DD4"/>
        </w:rPr>
        <w:t xml:space="preserve"> di cogliere ogni opportunità utile ad incrementare il beneficio reale per i lavoratori e per le aziende mirate ad incentivare la produttività, le Parti usufruiranno delle possibilità già previste dalla legislazione vigente e provvederanno a rendere disponibili alla contrattazione aziendale gli istituti economici di pertinenza del CCNL che potranno fruire di tali benefici.</w:t>
      </w:r>
    </w:p>
    <w:p w:rsidR="00E47941" w:rsidRPr="00471576" w:rsidRDefault="00E47941" w:rsidP="007E1CEA">
      <w:pPr>
        <w:jc w:val="both"/>
        <w:rPr>
          <w:b/>
          <w:color w:val="548DD4"/>
        </w:rPr>
      </w:pPr>
    </w:p>
    <w:p w:rsidR="00E47941" w:rsidRPr="00471576" w:rsidRDefault="00E47941" w:rsidP="007E1CEA">
      <w:pPr>
        <w:jc w:val="both"/>
        <w:rPr>
          <w:b/>
          <w:color w:val="548DD4"/>
        </w:rPr>
      </w:pPr>
    </w:p>
    <w:p w:rsidR="00E47941" w:rsidRPr="00471576" w:rsidRDefault="00E47941" w:rsidP="007E1CEA">
      <w:pPr>
        <w:jc w:val="both"/>
        <w:rPr>
          <w:b/>
          <w:color w:val="548DD4"/>
        </w:rPr>
      </w:pPr>
    </w:p>
    <w:p w:rsidR="00E47941" w:rsidRDefault="00E47941" w:rsidP="007E1CEA">
      <w:pPr>
        <w:jc w:val="both"/>
        <w:rPr>
          <w:b/>
          <w:color w:val="548DD4"/>
        </w:rPr>
      </w:pPr>
    </w:p>
    <w:p w:rsidR="00E47941" w:rsidRDefault="00E47941" w:rsidP="007E1CEA">
      <w:pPr>
        <w:jc w:val="both"/>
        <w:rPr>
          <w:b/>
          <w:color w:val="548DD4"/>
        </w:rPr>
      </w:pPr>
    </w:p>
    <w:p w:rsidR="00E47941" w:rsidRDefault="00E47941" w:rsidP="007E1CEA">
      <w:pPr>
        <w:jc w:val="both"/>
        <w:rPr>
          <w:b/>
          <w:color w:val="548DD4"/>
        </w:rPr>
      </w:pPr>
    </w:p>
    <w:p w:rsidR="00E47941" w:rsidRPr="00471576" w:rsidRDefault="00E47941" w:rsidP="007E1CEA">
      <w:pPr>
        <w:jc w:val="both"/>
        <w:rPr>
          <w:b/>
          <w:color w:val="548DD4"/>
        </w:rPr>
      </w:pPr>
      <w:r w:rsidRPr="00471576">
        <w:rPr>
          <w:b/>
          <w:color w:val="548DD4"/>
        </w:rPr>
        <w:t>Orario e turni</w:t>
      </w:r>
    </w:p>
    <w:p w:rsidR="00E47941" w:rsidRPr="00471576" w:rsidRDefault="00E47941" w:rsidP="007E1CEA">
      <w:pPr>
        <w:jc w:val="both"/>
        <w:rPr>
          <w:color w:val="548DD4"/>
        </w:rPr>
      </w:pPr>
      <w:r w:rsidRPr="00471576">
        <w:rPr>
          <w:color w:val="548DD4"/>
        </w:rPr>
        <w:t xml:space="preserve">Oltre all’innovazione tecnologica e all’organizzazione del lavoro, le attenzioni maggiori per incrementare la produttività sono rivolte alla gestione degli orari di lavoro, al loro </w:t>
      </w:r>
      <w:r>
        <w:rPr>
          <w:color w:val="548DD4"/>
        </w:rPr>
        <w:t>pieno utilizzo</w:t>
      </w:r>
      <w:r w:rsidRPr="00471576">
        <w:rPr>
          <w:color w:val="548DD4"/>
        </w:rPr>
        <w:t>, alla remunerazione delle prestazioni effettive, con particolare attenzione a quelle più disagiate.</w:t>
      </w:r>
    </w:p>
    <w:p w:rsidR="00E47941" w:rsidRPr="00471576" w:rsidRDefault="00E47941" w:rsidP="007E1CEA">
      <w:pPr>
        <w:jc w:val="both"/>
        <w:rPr>
          <w:color w:val="548DD4"/>
          <w:u w:val="single"/>
        </w:rPr>
      </w:pPr>
    </w:p>
    <w:p w:rsidR="00E47941" w:rsidRPr="00471576" w:rsidRDefault="00E47941" w:rsidP="007E1CEA">
      <w:pPr>
        <w:jc w:val="both"/>
        <w:rPr>
          <w:color w:val="548DD4"/>
          <w:u w:val="single"/>
        </w:rPr>
      </w:pPr>
      <w:r w:rsidRPr="00471576">
        <w:rPr>
          <w:color w:val="548DD4"/>
          <w:u w:val="single"/>
        </w:rPr>
        <w:t>Orario di lavoro</w:t>
      </w:r>
    </w:p>
    <w:p w:rsidR="00E47941" w:rsidRDefault="00E47941" w:rsidP="007E1CEA">
      <w:pPr>
        <w:jc w:val="both"/>
        <w:rPr>
          <w:color w:val="548DD4"/>
        </w:rPr>
      </w:pPr>
      <w:r w:rsidRPr="00471576">
        <w:rPr>
          <w:color w:val="548DD4"/>
        </w:rPr>
        <w:t xml:space="preserve">La normativa nazionale si pone l’obiettivo di rendere più produttivo l’orario ordinario contrattuale di lavoro attraverso la definizione di modelli di flessibilità già pronti per l’uso. </w:t>
      </w:r>
    </w:p>
    <w:p w:rsidR="00E47941" w:rsidRDefault="00E47941" w:rsidP="00876069">
      <w:pPr>
        <w:jc w:val="both"/>
        <w:rPr>
          <w:color w:val="548DD4"/>
        </w:rPr>
      </w:pPr>
      <w:r w:rsidRPr="00471576">
        <w:rPr>
          <w:color w:val="548DD4"/>
        </w:rPr>
        <w:t xml:space="preserve">Per le variazioni dell’orario di lavoro si individuerà una procedura, da </w:t>
      </w:r>
      <w:r>
        <w:rPr>
          <w:color w:val="548DD4"/>
        </w:rPr>
        <w:t>realizzare</w:t>
      </w:r>
      <w:r w:rsidRPr="00471576">
        <w:rPr>
          <w:color w:val="548DD4"/>
        </w:rPr>
        <w:t xml:space="preserve"> a livello aziendale. Tale procedura dovrà stabilire le modalità per esaurire il confronto nel tempo massimo di 20 giorni.</w:t>
      </w:r>
    </w:p>
    <w:p w:rsidR="00E47941" w:rsidRPr="00471576" w:rsidRDefault="00E47941" w:rsidP="007E1CEA">
      <w:pPr>
        <w:jc w:val="both"/>
        <w:rPr>
          <w:color w:val="548DD4"/>
        </w:rPr>
      </w:pPr>
      <w:r w:rsidRPr="00471576">
        <w:rPr>
          <w:color w:val="548DD4"/>
        </w:rPr>
        <w:t xml:space="preserve">Il lavoro straordinario </w:t>
      </w:r>
      <w:r>
        <w:rPr>
          <w:color w:val="548DD4"/>
        </w:rPr>
        <w:t xml:space="preserve">sarà pertanto </w:t>
      </w:r>
      <w:r w:rsidRPr="00471576">
        <w:rPr>
          <w:color w:val="548DD4"/>
        </w:rPr>
        <w:t>significativamente ridotto con modulazioni mirate di picchi e flessi</w:t>
      </w:r>
      <w:r>
        <w:rPr>
          <w:color w:val="548DD4"/>
        </w:rPr>
        <w:t xml:space="preserve">, tenendo opportunamente conto </w:t>
      </w:r>
      <w:r w:rsidRPr="00471576">
        <w:rPr>
          <w:color w:val="548DD4"/>
        </w:rPr>
        <w:t xml:space="preserve">delle esigenze dei lavoratori. </w:t>
      </w:r>
    </w:p>
    <w:p w:rsidR="00E47941" w:rsidRDefault="00E47941" w:rsidP="007E1CEA">
      <w:pPr>
        <w:jc w:val="both"/>
        <w:rPr>
          <w:color w:val="548DD4"/>
        </w:rPr>
      </w:pPr>
      <w:r>
        <w:rPr>
          <w:color w:val="548DD4"/>
        </w:rPr>
        <w:t>Le quote residuali di straordinario, per le quali non sia stato possibile operare il recupero entro  tempi prestabiliti, saranno compensate con versamenti alla previdenza complementare.</w:t>
      </w:r>
    </w:p>
    <w:p w:rsidR="00E47941" w:rsidRPr="00471576" w:rsidRDefault="00E47941" w:rsidP="007E1CEA">
      <w:pPr>
        <w:jc w:val="both"/>
        <w:rPr>
          <w:color w:val="548DD4"/>
        </w:rPr>
      </w:pPr>
      <w:r>
        <w:rPr>
          <w:color w:val="548DD4"/>
        </w:rPr>
        <w:t>Per circostanze eccezionali si potranno concordare a livello aziendale estensioni temporanee dell’orario compensate con versamento alla previdenza complementare.</w:t>
      </w:r>
    </w:p>
    <w:p w:rsidR="00E47941" w:rsidRPr="00471576" w:rsidRDefault="00E47941" w:rsidP="007E1CEA">
      <w:pPr>
        <w:jc w:val="both"/>
        <w:rPr>
          <w:color w:val="548DD4"/>
        </w:rPr>
      </w:pPr>
      <w:r w:rsidRPr="00471576">
        <w:rPr>
          <w:color w:val="548DD4"/>
        </w:rPr>
        <w:t>Infine, si conviene che tutte le assenze, comprese quelle in base alla legge n. 104/92, devono prevedere un termine di preavviso, fatti salvi i casi di imprescindibilità e improrogabilità.</w:t>
      </w:r>
    </w:p>
    <w:p w:rsidR="00E47941" w:rsidRPr="00471576" w:rsidRDefault="00E47941" w:rsidP="007E1CEA">
      <w:pPr>
        <w:jc w:val="both"/>
        <w:rPr>
          <w:color w:val="548DD4"/>
        </w:rPr>
      </w:pPr>
      <w:r w:rsidRPr="00471576">
        <w:rPr>
          <w:color w:val="548DD4"/>
        </w:rPr>
        <w:t xml:space="preserve">Anche a livello contrattuale si conferma la </w:t>
      </w:r>
      <w:r>
        <w:rPr>
          <w:color w:val="548DD4"/>
        </w:rPr>
        <w:t xml:space="preserve">possibilità di chiusure collettive e la </w:t>
      </w:r>
      <w:r w:rsidRPr="00471576">
        <w:rPr>
          <w:color w:val="548DD4"/>
        </w:rPr>
        <w:t>programmazione obbligata delle ferie per prevenire i residui.</w:t>
      </w:r>
    </w:p>
    <w:p w:rsidR="00E47941" w:rsidRPr="00471576" w:rsidRDefault="00E47941" w:rsidP="007E1CEA">
      <w:pPr>
        <w:jc w:val="both"/>
        <w:rPr>
          <w:color w:val="548DD4"/>
          <w:u w:val="single"/>
        </w:rPr>
      </w:pPr>
    </w:p>
    <w:p w:rsidR="00E47941" w:rsidRPr="00471576" w:rsidRDefault="00E47941" w:rsidP="007E1CEA">
      <w:pPr>
        <w:jc w:val="both"/>
        <w:rPr>
          <w:color w:val="548DD4"/>
          <w:u w:val="single"/>
        </w:rPr>
      </w:pPr>
      <w:r w:rsidRPr="00471576">
        <w:rPr>
          <w:color w:val="548DD4"/>
          <w:u w:val="single"/>
        </w:rPr>
        <w:t>Lavoro in turno</w:t>
      </w:r>
    </w:p>
    <w:p w:rsidR="00E47941" w:rsidRPr="00471576" w:rsidRDefault="00E47941" w:rsidP="00AD43A7">
      <w:pPr>
        <w:jc w:val="both"/>
        <w:rPr>
          <w:color w:val="548DD4"/>
        </w:rPr>
      </w:pPr>
      <w:r w:rsidRPr="00471576">
        <w:rPr>
          <w:color w:val="548DD4"/>
        </w:rPr>
        <w:t xml:space="preserve">Tutti i compensi per il lavoro in turno </w:t>
      </w:r>
      <w:r>
        <w:rPr>
          <w:color w:val="548DD4"/>
        </w:rPr>
        <w:t>saranno</w:t>
      </w:r>
      <w:r w:rsidRPr="00471576">
        <w:rPr>
          <w:color w:val="548DD4"/>
        </w:rPr>
        <w:t xml:space="preserve"> legati alla prestazione effettiva. Si elimina il fisso mensile distribuendolo sulle presenze.</w:t>
      </w:r>
      <w:r>
        <w:rPr>
          <w:color w:val="548DD4"/>
        </w:rPr>
        <w:t xml:space="preserve"> </w:t>
      </w:r>
      <w:r w:rsidRPr="00471576">
        <w:rPr>
          <w:color w:val="548DD4"/>
        </w:rPr>
        <w:t>La normativa dell’uscita dal turno va riformulata con un decalage degli attuali benefici previsti dalla normativa.</w:t>
      </w:r>
    </w:p>
    <w:p w:rsidR="00E47941" w:rsidRPr="00471576" w:rsidRDefault="00E47941" w:rsidP="007E1CEA">
      <w:pPr>
        <w:jc w:val="both"/>
        <w:rPr>
          <w:color w:val="548DD4"/>
        </w:rPr>
      </w:pPr>
      <w:r w:rsidRPr="00471576">
        <w:rPr>
          <w:color w:val="548DD4"/>
        </w:rPr>
        <w:t>Le Parti individueranno soluzioni per incentivare la presenza al lavoro e la permanenza in turno (es. meno notti per i lavoratori anziani o con difficoltà fisiche) e per garantire la regolarità dei turni. Il pieno utilizzo del nastro orario comporta una revisione critica di tutte le prassi:</w:t>
      </w:r>
    </w:p>
    <w:p w:rsidR="00E47941" w:rsidRPr="00471576" w:rsidRDefault="00E47941" w:rsidP="00EB24A9">
      <w:pPr>
        <w:pStyle w:val="ListParagraph"/>
        <w:numPr>
          <w:ilvl w:val="0"/>
          <w:numId w:val="4"/>
        </w:numPr>
        <w:jc w:val="both"/>
        <w:rPr>
          <w:color w:val="548DD4"/>
        </w:rPr>
      </w:pPr>
      <w:r w:rsidRPr="00471576">
        <w:rPr>
          <w:color w:val="548DD4"/>
        </w:rPr>
        <w:t>mancato cambio turno</w:t>
      </w:r>
    </w:p>
    <w:p w:rsidR="00E47941" w:rsidRPr="00471576" w:rsidRDefault="00E47941" w:rsidP="00EB24A9">
      <w:pPr>
        <w:pStyle w:val="ListParagraph"/>
        <w:numPr>
          <w:ilvl w:val="0"/>
          <w:numId w:val="4"/>
        </w:numPr>
        <w:jc w:val="both"/>
        <w:rPr>
          <w:color w:val="548DD4"/>
        </w:rPr>
      </w:pPr>
      <w:r w:rsidRPr="00471576">
        <w:rPr>
          <w:color w:val="548DD4"/>
        </w:rPr>
        <w:t>sostituto assente</w:t>
      </w:r>
    </w:p>
    <w:p w:rsidR="00E47941" w:rsidRPr="00471576" w:rsidRDefault="00E47941" w:rsidP="00EB24A9">
      <w:pPr>
        <w:pStyle w:val="ListParagraph"/>
        <w:numPr>
          <w:ilvl w:val="0"/>
          <w:numId w:val="4"/>
        </w:numPr>
        <w:jc w:val="both"/>
        <w:rPr>
          <w:color w:val="548DD4"/>
        </w:rPr>
      </w:pPr>
      <w:r w:rsidRPr="00471576">
        <w:rPr>
          <w:color w:val="548DD4"/>
        </w:rPr>
        <w:t>doppione al rientro dell’assente</w:t>
      </w:r>
    </w:p>
    <w:p w:rsidR="00E47941" w:rsidRPr="00471576" w:rsidRDefault="00E47941" w:rsidP="00EB24A9">
      <w:pPr>
        <w:pStyle w:val="ListParagraph"/>
        <w:numPr>
          <w:ilvl w:val="0"/>
          <w:numId w:val="4"/>
        </w:numPr>
        <w:jc w:val="both"/>
        <w:rPr>
          <w:color w:val="548DD4"/>
        </w:rPr>
      </w:pPr>
      <w:r w:rsidRPr="00471576">
        <w:rPr>
          <w:color w:val="548DD4"/>
        </w:rPr>
        <w:t>ferie durante le manutenzioni</w:t>
      </w:r>
    </w:p>
    <w:p w:rsidR="00E47941" w:rsidRPr="00471576" w:rsidRDefault="00E47941" w:rsidP="00EB24A9">
      <w:pPr>
        <w:pStyle w:val="ListParagraph"/>
        <w:numPr>
          <w:ilvl w:val="0"/>
          <w:numId w:val="4"/>
        </w:numPr>
        <w:jc w:val="both"/>
        <w:rPr>
          <w:color w:val="548DD4"/>
        </w:rPr>
      </w:pPr>
      <w:r w:rsidRPr="00471576">
        <w:rPr>
          <w:color w:val="548DD4"/>
        </w:rPr>
        <w:t>utilizzo di giornalieri per supplire ai picchi</w:t>
      </w:r>
    </w:p>
    <w:p w:rsidR="00E47941" w:rsidRPr="00471576" w:rsidRDefault="00E47941" w:rsidP="00EB24A9">
      <w:pPr>
        <w:pStyle w:val="ListParagraph"/>
        <w:numPr>
          <w:ilvl w:val="0"/>
          <w:numId w:val="4"/>
        </w:numPr>
        <w:jc w:val="both"/>
        <w:rPr>
          <w:color w:val="548DD4"/>
          <w:lang w:val="en-US"/>
        </w:rPr>
      </w:pPr>
      <w:r w:rsidRPr="00471576">
        <w:rPr>
          <w:color w:val="548DD4"/>
          <w:lang w:val="en-US"/>
        </w:rPr>
        <w:t xml:space="preserve">tutte le forme di training on the job, e-learning </w:t>
      </w:r>
    </w:p>
    <w:p w:rsidR="00E47941" w:rsidRPr="00471576" w:rsidRDefault="00E47941" w:rsidP="00EB24A9">
      <w:pPr>
        <w:pStyle w:val="ListParagraph"/>
        <w:numPr>
          <w:ilvl w:val="0"/>
          <w:numId w:val="4"/>
        </w:numPr>
        <w:jc w:val="both"/>
        <w:rPr>
          <w:color w:val="548DD4"/>
          <w:lang w:val="en-US"/>
        </w:rPr>
      </w:pPr>
      <w:r w:rsidRPr="00471576">
        <w:rPr>
          <w:color w:val="548DD4"/>
          <w:lang w:val="en-US"/>
        </w:rPr>
        <w:t>….</w:t>
      </w:r>
    </w:p>
    <w:p w:rsidR="00E47941" w:rsidRPr="00471576" w:rsidRDefault="00E47941" w:rsidP="007E1CEA">
      <w:pPr>
        <w:jc w:val="both"/>
        <w:rPr>
          <w:color w:val="548DD4"/>
        </w:rPr>
      </w:pPr>
      <w:r>
        <w:rPr>
          <w:color w:val="548DD4"/>
        </w:rPr>
        <w:t>A livello aziendale si potrà p</w:t>
      </w:r>
      <w:r w:rsidRPr="00471576">
        <w:rPr>
          <w:color w:val="548DD4"/>
        </w:rPr>
        <w:t>ortare temporaneamente a 244 giorni il nastro orario annuo con compensazioni in contributi alla previdenza integrativa.</w:t>
      </w:r>
    </w:p>
    <w:p w:rsidR="00E47941" w:rsidRPr="00471576" w:rsidRDefault="00E47941" w:rsidP="007E1CEA">
      <w:pPr>
        <w:jc w:val="both"/>
        <w:rPr>
          <w:color w:val="548DD4"/>
          <w:u w:val="single"/>
        </w:rPr>
      </w:pPr>
      <w:r w:rsidRPr="00471576">
        <w:rPr>
          <w:color w:val="548DD4"/>
          <w:u w:val="single"/>
        </w:rPr>
        <w:t>Progetto età</w:t>
      </w:r>
    </w:p>
    <w:p w:rsidR="00E47941" w:rsidRPr="00471576" w:rsidRDefault="00E47941" w:rsidP="007E1CEA">
      <w:pPr>
        <w:jc w:val="both"/>
        <w:rPr>
          <w:color w:val="548DD4"/>
        </w:rPr>
      </w:pPr>
      <w:r w:rsidRPr="00471576">
        <w:rPr>
          <w:color w:val="548DD4"/>
        </w:rPr>
        <w:t xml:space="preserve">Il prolungamento drastico dell’età pensionabile impatta fortemente su tutti gli strumenti della gestione delle risorse con conseguenze ad oggi non ancora completamente esplorate. Occorre ripensare all’organizzazione del lavoro e alle mansioni più critiche per adottare modelli di gestione che sappiano garantire lo svolgimento delle attività alle risorse in età matura. Occorrerà individuare soluzioni mirate alle varie fasi di vita aziendale. In questo ambito è possibile ipotizzare interventi di welfare integrativo a sostegno delle </w:t>
      </w:r>
      <w:r>
        <w:rPr>
          <w:color w:val="548DD4"/>
        </w:rPr>
        <w:t>iniziative individuate</w:t>
      </w:r>
      <w:r w:rsidRPr="00471576">
        <w:rPr>
          <w:color w:val="548DD4"/>
        </w:rPr>
        <w:t>. A tal proposito si prevede di avviare un monitoraggio delle buone pratiche.</w:t>
      </w:r>
    </w:p>
    <w:p w:rsidR="00E47941" w:rsidRPr="00471576" w:rsidRDefault="00E47941" w:rsidP="00DD182B">
      <w:pPr>
        <w:jc w:val="both"/>
        <w:rPr>
          <w:color w:val="548DD4"/>
        </w:rPr>
      </w:pPr>
      <w:r w:rsidRPr="00471576">
        <w:rPr>
          <w:color w:val="548DD4"/>
        </w:rPr>
        <w:t xml:space="preserve"> </w:t>
      </w: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Pr="00471576" w:rsidRDefault="00E47941" w:rsidP="00DD182B">
      <w:pPr>
        <w:jc w:val="both"/>
        <w:rPr>
          <w:color w:val="548DD4"/>
        </w:rPr>
      </w:pPr>
    </w:p>
    <w:p w:rsidR="00E47941" w:rsidRDefault="00E47941" w:rsidP="00DD182B">
      <w:pPr>
        <w:jc w:val="both"/>
        <w:rPr>
          <w:color w:val="548DD4"/>
        </w:rPr>
      </w:pPr>
    </w:p>
    <w:p w:rsidR="00E47941" w:rsidRDefault="00E47941" w:rsidP="00DD182B">
      <w:pPr>
        <w:jc w:val="both"/>
        <w:rPr>
          <w:color w:val="548DD4"/>
        </w:rPr>
      </w:pPr>
    </w:p>
    <w:p w:rsidR="00E47941" w:rsidRDefault="00E47941" w:rsidP="00DD182B">
      <w:pPr>
        <w:jc w:val="both"/>
        <w:rPr>
          <w:color w:val="548DD4"/>
        </w:rPr>
      </w:pPr>
    </w:p>
    <w:p w:rsidR="00E47941" w:rsidRPr="00471576" w:rsidRDefault="00E47941" w:rsidP="00DD182B">
      <w:pPr>
        <w:jc w:val="both"/>
        <w:rPr>
          <w:b/>
          <w:color w:val="548DD4"/>
        </w:rPr>
      </w:pPr>
      <w:r w:rsidRPr="00471576">
        <w:rPr>
          <w:b/>
          <w:color w:val="548DD4"/>
        </w:rPr>
        <w:t>Cronoprogramma per la costruzione del CCNL ENERGIA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699"/>
        <w:gridCol w:w="7907"/>
      </w:tblGrid>
      <w:tr w:rsidR="00E47941" w:rsidRPr="0011686A" w:rsidTr="0011686A">
        <w:tc>
          <w:tcPr>
            <w:tcW w:w="1699" w:type="dxa"/>
            <w:vMerge w:val="restart"/>
            <w:vAlign w:val="center"/>
          </w:tcPr>
          <w:p w:rsidR="00E47941" w:rsidRPr="0011686A" w:rsidRDefault="00E47941" w:rsidP="0011686A">
            <w:pPr>
              <w:spacing w:after="0"/>
              <w:jc w:val="center"/>
              <w:rPr>
                <w:color w:val="548DD4"/>
              </w:rPr>
            </w:pPr>
            <w:r w:rsidRPr="0011686A">
              <w:rPr>
                <w:color w:val="548DD4"/>
              </w:rPr>
              <w:t>2013</w:t>
            </w:r>
          </w:p>
        </w:tc>
        <w:tc>
          <w:tcPr>
            <w:tcW w:w="7907" w:type="dxa"/>
          </w:tcPr>
          <w:p w:rsidR="00E47941" w:rsidRPr="0011686A" w:rsidRDefault="00E47941" w:rsidP="0011686A">
            <w:pPr>
              <w:spacing w:after="0"/>
              <w:jc w:val="both"/>
              <w:rPr>
                <w:color w:val="548DD4"/>
              </w:rPr>
            </w:pPr>
            <w:r w:rsidRPr="0011686A">
              <w:rPr>
                <w:color w:val="548DD4"/>
              </w:rPr>
              <w:t xml:space="preserve">Alla firma del contratto si definiscono le tre tranche salariali. </w:t>
            </w:r>
          </w:p>
          <w:p w:rsidR="00E47941" w:rsidRPr="0011686A" w:rsidRDefault="00E47941" w:rsidP="0011686A">
            <w:pPr>
              <w:spacing w:after="0"/>
              <w:jc w:val="both"/>
              <w:rPr>
                <w:color w:val="548DD4"/>
              </w:rPr>
            </w:pPr>
            <w:r w:rsidRPr="0011686A">
              <w:rPr>
                <w:color w:val="548DD4"/>
              </w:rPr>
              <w:t>La prima sarà erogata utilizzando le scale parametrali esistenti dei due CCNL attuali (Gas-Acqua / Energia e Petrolio)</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Linee guida per i premi di risultato</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Nel corso del 2013, le Parti si impegnano a redigere la parte normativa comune ai due settori tenendo conto delle novità legislative intercorse</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In attesa della nuova normativa comune, si continueranno ad applicare i rispettivi contratti di provenienza</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Formazione congiunta sul nuovo premio produttività individuale prima della stesura della normativa specifica</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La costruzione del nuovo impianto salariale (Classificazione + P.P.I.) è condizione necessaria per poter erogare la seconda e terza tranches</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Per la seconda tranche si definisce l’importo medio ed una quota è devoluta al PPI (premio produttività individuale)</w:t>
            </w:r>
          </w:p>
          <w:p w:rsidR="00E47941" w:rsidRPr="0011686A" w:rsidRDefault="00E47941" w:rsidP="0011686A">
            <w:pPr>
              <w:spacing w:after="0"/>
              <w:jc w:val="both"/>
              <w:rPr>
                <w:color w:val="548DD4"/>
              </w:rPr>
            </w:pPr>
          </w:p>
        </w:tc>
      </w:tr>
      <w:tr w:rsidR="00E47941" w:rsidRPr="0011686A" w:rsidTr="0011686A">
        <w:tc>
          <w:tcPr>
            <w:tcW w:w="1699" w:type="dxa"/>
            <w:vMerge w:val="restart"/>
            <w:vAlign w:val="center"/>
          </w:tcPr>
          <w:p w:rsidR="00E47941" w:rsidRPr="0011686A" w:rsidRDefault="00E47941" w:rsidP="0011686A">
            <w:pPr>
              <w:spacing w:after="0"/>
              <w:jc w:val="center"/>
              <w:rPr>
                <w:color w:val="548DD4"/>
              </w:rPr>
            </w:pPr>
            <w:r w:rsidRPr="0011686A">
              <w:rPr>
                <w:color w:val="548DD4"/>
              </w:rPr>
              <w:t>2014</w:t>
            </w:r>
          </w:p>
        </w:tc>
        <w:tc>
          <w:tcPr>
            <w:tcW w:w="7907" w:type="dxa"/>
          </w:tcPr>
          <w:p w:rsidR="00E47941" w:rsidRPr="0011686A" w:rsidRDefault="00E47941" w:rsidP="0011686A">
            <w:pPr>
              <w:spacing w:after="0"/>
              <w:jc w:val="both"/>
              <w:rPr>
                <w:color w:val="548DD4"/>
              </w:rPr>
            </w:pPr>
            <w:r w:rsidRPr="0011686A">
              <w:rPr>
                <w:color w:val="548DD4"/>
              </w:rPr>
              <w:t xml:space="preserve">1° Gennaio: cessa il C.R.E.A. </w:t>
            </w:r>
          </w:p>
          <w:p w:rsidR="00E47941" w:rsidRPr="0011686A" w:rsidRDefault="00E47941" w:rsidP="0011686A">
            <w:pPr>
              <w:spacing w:after="0"/>
              <w:jc w:val="both"/>
              <w:rPr>
                <w:color w:val="548DD4"/>
              </w:rPr>
            </w:pPr>
            <w:r w:rsidRPr="0011686A">
              <w:rPr>
                <w:color w:val="548DD4"/>
              </w:rPr>
              <w:t>I CREA individuali saranno mantenuti ad personam e assorbiti soltanto in caso di passaggio di categoria</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Con la seconda tranche salariale entra in vigore il nuovo CCNL Energia e una quota è devoluta al PPI (premio produttività individuale)</w:t>
            </w:r>
          </w:p>
          <w:p w:rsidR="00E47941" w:rsidRPr="0011686A" w:rsidRDefault="00E47941" w:rsidP="0011686A">
            <w:pPr>
              <w:spacing w:after="0"/>
              <w:jc w:val="both"/>
              <w:rPr>
                <w:color w:val="548DD4"/>
              </w:rPr>
            </w:pP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Il nuovo impianto salariale è a costi invariati</w:t>
            </w:r>
          </w:p>
          <w:p w:rsidR="00E47941" w:rsidRPr="0011686A" w:rsidRDefault="00E47941" w:rsidP="0011686A">
            <w:pPr>
              <w:spacing w:after="0"/>
              <w:jc w:val="both"/>
              <w:rPr>
                <w:color w:val="548DD4"/>
              </w:rPr>
            </w:pPr>
          </w:p>
        </w:tc>
      </w:tr>
      <w:tr w:rsidR="00E47941" w:rsidRPr="0011686A" w:rsidTr="0011686A">
        <w:trPr>
          <w:trHeight w:val="1182"/>
        </w:trPr>
        <w:tc>
          <w:tcPr>
            <w:tcW w:w="1699" w:type="dxa"/>
            <w:vMerge w:val="restart"/>
            <w:vAlign w:val="center"/>
          </w:tcPr>
          <w:p w:rsidR="00E47941" w:rsidRPr="0011686A" w:rsidRDefault="00E47941" w:rsidP="0011686A">
            <w:pPr>
              <w:spacing w:after="0"/>
              <w:jc w:val="center"/>
              <w:rPr>
                <w:color w:val="548DD4"/>
              </w:rPr>
            </w:pPr>
            <w:r w:rsidRPr="0011686A">
              <w:rPr>
                <w:color w:val="548DD4"/>
              </w:rPr>
              <w:t>2015</w:t>
            </w:r>
          </w:p>
        </w:tc>
        <w:tc>
          <w:tcPr>
            <w:tcW w:w="7907" w:type="dxa"/>
          </w:tcPr>
          <w:p w:rsidR="00E47941" w:rsidRPr="0011686A" w:rsidRDefault="00E47941" w:rsidP="0011686A">
            <w:pPr>
              <w:spacing w:after="0"/>
              <w:jc w:val="both"/>
              <w:rPr>
                <w:color w:val="548DD4"/>
              </w:rPr>
            </w:pPr>
            <w:r w:rsidRPr="0011686A">
              <w:rPr>
                <w:color w:val="548DD4"/>
              </w:rPr>
              <w:t>Cessano gli scatti di anzianità. Gli importi maturati alla data del 31.12.2014 saranno mantenuti ad personam e non assorbibili</w:t>
            </w:r>
          </w:p>
        </w:tc>
      </w:tr>
      <w:tr w:rsidR="00E47941" w:rsidRPr="0011686A" w:rsidTr="0011686A">
        <w:tc>
          <w:tcPr>
            <w:tcW w:w="1699" w:type="dxa"/>
            <w:vMerge/>
          </w:tcPr>
          <w:p w:rsidR="00E47941" w:rsidRPr="0011686A" w:rsidRDefault="00E47941" w:rsidP="0011686A">
            <w:pPr>
              <w:spacing w:after="0"/>
              <w:jc w:val="both"/>
              <w:rPr>
                <w:color w:val="548DD4"/>
              </w:rPr>
            </w:pPr>
          </w:p>
        </w:tc>
        <w:tc>
          <w:tcPr>
            <w:tcW w:w="7907" w:type="dxa"/>
          </w:tcPr>
          <w:p w:rsidR="00E47941" w:rsidRPr="0011686A" w:rsidRDefault="00E47941" w:rsidP="0011686A">
            <w:pPr>
              <w:spacing w:after="0"/>
              <w:jc w:val="both"/>
              <w:rPr>
                <w:color w:val="548DD4"/>
              </w:rPr>
            </w:pPr>
            <w:r w:rsidRPr="0011686A">
              <w:rPr>
                <w:color w:val="548DD4"/>
              </w:rPr>
              <w:t>Prima erogazione del P.P.I. relativo al 2014</w:t>
            </w:r>
          </w:p>
          <w:p w:rsidR="00E47941" w:rsidRPr="0011686A" w:rsidRDefault="00E47941" w:rsidP="0011686A">
            <w:pPr>
              <w:spacing w:after="0"/>
              <w:jc w:val="both"/>
              <w:rPr>
                <w:color w:val="548DD4"/>
              </w:rPr>
            </w:pPr>
          </w:p>
        </w:tc>
      </w:tr>
    </w:tbl>
    <w:p w:rsidR="00E47941" w:rsidRPr="00471576" w:rsidRDefault="00E47941" w:rsidP="0071273F">
      <w:pPr>
        <w:jc w:val="both"/>
        <w:rPr>
          <w:color w:val="548DD4"/>
        </w:rPr>
      </w:pPr>
    </w:p>
    <w:p w:rsidR="00E47941" w:rsidRPr="00471576" w:rsidRDefault="00E47941" w:rsidP="0071273F">
      <w:pPr>
        <w:jc w:val="both"/>
        <w:rPr>
          <w:b/>
          <w:color w:val="548DD4"/>
        </w:rPr>
      </w:pPr>
      <w:r w:rsidRPr="00471576">
        <w:rPr>
          <w:b/>
          <w:color w:val="548DD4"/>
        </w:rPr>
        <w:t>Differenze salariali nei settori gas e downstream petrolifero</w:t>
      </w:r>
    </w:p>
    <w:p w:rsidR="00E47941" w:rsidRDefault="00E47941" w:rsidP="0071273F">
      <w:pPr>
        <w:jc w:val="both"/>
        <w:rPr>
          <w:color w:val="548DD4"/>
        </w:rPr>
      </w:pPr>
      <w:r w:rsidRPr="00471576">
        <w:rPr>
          <w:color w:val="548DD4"/>
        </w:rPr>
        <w:t xml:space="preserve">Per il settore gas, la differenza salariale rispetto al settore Petrolio è già strutturale. </w:t>
      </w:r>
    </w:p>
    <w:p w:rsidR="00E47941" w:rsidRDefault="00E47941" w:rsidP="0071273F">
      <w:pPr>
        <w:jc w:val="both"/>
      </w:pPr>
      <w:r w:rsidRPr="00471576">
        <w:rPr>
          <w:color w:val="548DD4"/>
        </w:rPr>
        <w:t xml:space="preserve">Per il downstream petrolifero, </w:t>
      </w:r>
      <w:r>
        <w:rPr>
          <w:color w:val="548DD4"/>
        </w:rPr>
        <w:t>la scelta per il</w:t>
      </w:r>
      <w:r w:rsidRPr="00471576">
        <w:rPr>
          <w:color w:val="548DD4"/>
        </w:rPr>
        <w:t xml:space="preserve"> triennio 2013-2015</w:t>
      </w:r>
      <w:r>
        <w:rPr>
          <w:color w:val="548DD4"/>
        </w:rPr>
        <w:t xml:space="preserve"> è di natura contingente. Il contenimento dei costi avverrà pertanto operando sulle decorrenze.</w:t>
      </w:r>
    </w:p>
    <w:sectPr w:rsidR="00E47941" w:rsidSect="008E5EEE">
      <w:footerReference w:type="even" r:id="rId7"/>
      <w:footerReference w:type="default" r:id="rId8"/>
      <w:pgSz w:w="11906" w:h="16838"/>
      <w:pgMar w:top="1417"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941" w:rsidRDefault="00E47941" w:rsidP="00182C81">
      <w:pPr>
        <w:spacing w:after="0"/>
      </w:pPr>
      <w:r>
        <w:separator/>
      </w:r>
    </w:p>
  </w:endnote>
  <w:endnote w:type="continuationSeparator" w:id="0">
    <w:p w:rsidR="00E47941" w:rsidRDefault="00E47941" w:rsidP="00182C8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941" w:rsidRDefault="00E47941" w:rsidP="002248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47941" w:rsidRDefault="00E47941" w:rsidP="007F0CA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941" w:rsidRPr="003028A4" w:rsidRDefault="00E47941">
    <w:pPr>
      <w:pStyle w:val="Footer"/>
      <w:jc w:val="center"/>
      <w:rPr>
        <w:color w:val="548DD4"/>
      </w:rPr>
    </w:pPr>
    <w:r w:rsidRPr="003028A4">
      <w:rPr>
        <w:color w:val="548DD4"/>
      </w:rPr>
      <w:t xml:space="preserve">Pagina </w:t>
    </w:r>
    <w:r w:rsidRPr="003028A4">
      <w:rPr>
        <w:b/>
        <w:color w:val="548DD4"/>
      </w:rPr>
      <w:fldChar w:fldCharType="begin"/>
    </w:r>
    <w:r w:rsidRPr="003028A4">
      <w:rPr>
        <w:b/>
        <w:color w:val="548DD4"/>
      </w:rPr>
      <w:instrText>PAGE</w:instrText>
    </w:r>
    <w:r w:rsidRPr="003028A4">
      <w:rPr>
        <w:b/>
        <w:color w:val="548DD4"/>
      </w:rPr>
      <w:fldChar w:fldCharType="separate"/>
    </w:r>
    <w:r>
      <w:rPr>
        <w:b/>
        <w:noProof/>
        <w:color w:val="548DD4"/>
      </w:rPr>
      <w:t>2</w:t>
    </w:r>
    <w:r w:rsidRPr="003028A4">
      <w:rPr>
        <w:b/>
        <w:color w:val="548DD4"/>
      </w:rPr>
      <w:fldChar w:fldCharType="end"/>
    </w:r>
    <w:r w:rsidRPr="003028A4">
      <w:rPr>
        <w:color w:val="548DD4"/>
      </w:rPr>
      <w:t xml:space="preserve"> di </w:t>
    </w:r>
    <w:r w:rsidRPr="003028A4">
      <w:rPr>
        <w:b/>
        <w:color w:val="548DD4"/>
      </w:rPr>
      <w:fldChar w:fldCharType="begin"/>
    </w:r>
    <w:r w:rsidRPr="003028A4">
      <w:rPr>
        <w:b/>
        <w:color w:val="548DD4"/>
      </w:rPr>
      <w:instrText>NUMPAGES</w:instrText>
    </w:r>
    <w:r w:rsidRPr="003028A4">
      <w:rPr>
        <w:b/>
        <w:color w:val="548DD4"/>
      </w:rPr>
      <w:fldChar w:fldCharType="separate"/>
    </w:r>
    <w:r>
      <w:rPr>
        <w:b/>
        <w:noProof/>
        <w:color w:val="548DD4"/>
      </w:rPr>
      <w:t>7</w:t>
    </w:r>
    <w:r w:rsidRPr="003028A4">
      <w:rPr>
        <w:b/>
        <w:color w:val="548DD4"/>
      </w:rPr>
      <w:fldChar w:fldCharType="end"/>
    </w:r>
  </w:p>
  <w:p w:rsidR="00E47941" w:rsidRDefault="00E47941" w:rsidP="007F0CA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941" w:rsidRDefault="00E47941" w:rsidP="00182C81">
      <w:pPr>
        <w:spacing w:after="0"/>
      </w:pPr>
      <w:r>
        <w:separator/>
      </w:r>
    </w:p>
  </w:footnote>
  <w:footnote w:type="continuationSeparator" w:id="0">
    <w:p w:rsidR="00E47941" w:rsidRDefault="00E47941" w:rsidP="00182C8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872FC"/>
    <w:multiLevelType w:val="hybridMultilevel"/>
    <w:tmpl w:val="F47AAC6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1AD100CF"/>
    <w:multiLevelType w:val="hybridMultilevel"/>
    <w:tmpl w:val="48A08EA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
    <w:nsid w:val="6FE31589"/>
    <w:multiLevelType w:val="multilevel"/>
    <w:tmpl w:val="A7B0B1C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
    <w:nsid w:val="73926A09"/>
    <w:multiLevelType w:val="hybridMultilevel"/>
    <w:tmpl w:val="56464C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2B4A"/>
    <w:rsid w:val="00001381"/>
    <w:rsid w:val="00012A8E"/>
    <w:rsid w:val="00022CC6"/>
    <w:rsid w:val="000319CD"/>
    <w:rsid w:val="00034A8C"/>
    <w:rsid w:val="00051682"/>
    <w:rsid w:val="000801A0"/>
    <w:rsid w:val="00095365"/>
    <w:rsid w:val="000C45E2"/>
    <w:rsid w:val="000E6A45"/>
    <w:rsid w:val="000F2F4B"/>
    <w:rsid w:val="0011686A"/>
    <w:rsid w:val="001169E5"/>
    <w:rsid w:val="00124CD7"/>
    <w:rsid w:val="0012577F"/>
    <w:rsid w:val="00134FFD"/>
    <w:rsid w:val="00136FF0"/>
    <w:rsid w:val="0015595F"/>
    <w:rsid w:val="00182C81"/>
    <w:rsid w:val="00184B9B"/>
    <w:rsid w:val="00196B70"/>
    <w:rsid w:val="001B1E5D"/>
    <w:rsid w:val="001B1FA8"/>
    <w:rsid w:val="001D455D"/>
    <w:rsid w:val="002135C5"/>
    <w:rsid w:val="00213AF2"/>
    <w:rsid w:val="002248EA"/>
    <w:rsid w:val="0023338D"/>
    <w:rsid w:val="0023529C"/>
    <w:rsid w:val="0025159B"/>
    <w:rsid w:val="00260AB9"/>
    <w:rsid w:val="00262539"/>
    <w:rsid w:val="00263663"/>
    <w:rsid w:val="00270503"/>
    <w:rsid w:val="00293E5B"/>
    <w:rsid w:val="002B3E31"/>
    <w:rsid w:val="002E13C2"/>
    <w:rsid w:val="003028A4"/>
    <w:rsid w:val="00342332"/>
    <w:rsid w:val="00344963"/>
    <w:rsid w:val="003705B3"/>
    <w:rsid w:val="00373075"/>
    <w:rsid w:val="003C10DB"/>
    <w:rsid w:val="003C1AC8"/>
    <w:rsid w:val="003E1EFF"/>
    <w:rsid w:val="0043753C"/>
    <w:rsid w:val="00444EBB"/>
    <w:rsid w:val="00471576"/>
    <w:rsid w:val="004770A3"/>
    <w:rsid w:val="004854B7"/>
    <w:rsid w:val="00497005"/>
    <w:rsid w:val="004A2B33"/>
    <w:rsid w:val="004F7BA6"/>
    <w:rsid w:val="005205D2"/>
    <w:rsid w:val="00537CEB"/>
    <w:rsid w:val="0056448E"/>
    <w:rsid w:val="005716DF"/>
    <w:rsid w:val="00581085"/>
    <w:rsid w:val="0058462E"/>
    <w:rsid w:val="005D1FD2"/>
    <w:rsid w:val="005D45D1"/>
    <w:rsid w:val="00612B4A"/>
    <w:rsid w:val="00622D4C"/>
    <w:rsid w:val="00635200"/>
    <w:rsid w:val="006613BF"/>
    <w:rsid w:val="00665FFD"/>
    <w:rsid w:val="00666FF2"/>
    <w:rsid w:val="006964BE"/>
    <w:rsid w:val="006A1987"/>
    <w:rsid w:val="006B0EB3"/>
    <w:rsid w:val="006B0FC0"/>
    <w:rsid w:val="006B5E88"/>
    <w:rsid w:val="006C0E26"/>
    <w:rsid w:val="006C59B8"/>
    <w:rsid w:val="006D2F5C"/>
    <w:rsid w:val="00701536"/>
    <w:rsid w:val="00702994"/>
    <w:rsid w:val="0071273F"/>
    <w:rsid w:val="00743B2D"/>
    <w:rsid w:val="00745DEF"/>
    <w:rsid w:val="00760CA9"/>
    <w:rsid w:val="00774479"/>
    <w:rsid w:val="007E1CEA"/>
    <w:rsid w:val="007E54C3"/>
    <w:rsid w:val="007E66C7"/>
    <w:rsid w:val="007F0CAC"/>
    <w:rsid w:val="0082577F"/>
    <w:rsid w:val="00847AEC"/>
    <w:rsid w:val="00850364"/>
    <w:rsid w:val="0085308E"/>
    <w:rsid w:val="0085760A"/>
    <w:rsid w:val="00875BA6"/>
    <w:rsid w:val="00876069"/>
    <w:rsid w:val="008822C4"/>
    <w:rsid w:val="008A5978"/>
    <w:rsid w:val="008D3A1E"/>
    <w:rsid w:val="008D3D1B"/>
    <w:rsid w:val="008D405B"/>
    <w:rsid w:val="008E5A99"/>
    <w:rsid w:val="008E5E1D"/>
    <w:rsid w:val="008E5EEE"/>
    <w:rsid w:val="008F6AE9"/>
    <w:rsid w:val="0090627C"/>
    <w:rsid w:val="00907365"/>
    <w:rsid w:val="0091302E"/>
    <w:rsid w:val="009337E3"/>
    <w:rsid w:val="00933CD0"/>
    <w:rsid w:val="00963C99"/>
    <w:rsid w:val="009766FC"/>
    <w:rsid w:val="009A649E"/>
    <w:rsid w:val="009B30EA"/>
    <w:rsid w:val="009D1CC6"/>
    <w:rsid w:val="009D60CD"/>
    <w:rsid w:val="00A27E33"/>
    <w:rsid w:val="00A70C6A"/>
    <w:rsid w:val="00A81ACE"/>
    <w:rsid w:val="00A85CB3"/>
    <w:rsid w:val="00A85CD9"/>
    <w:rsid w:val="00AD43A7"/>
    <w:rsid w:val="00AD5F01"/>
    <w:rsid w:val="00AF7318"/>
    <w:rsid w:val="00B03F5C"/>
    <w:rsid w:val="00B26C68"/>
    <w:rsid w:val="00B562F3"/>
    <w:rsid w:val="00B64C25"/>
    <w:rsid w:val="00B661F2"/>
    <w:rsid w:val="00B6705B"/>
    <w:rsid w:val="00B70650"/>
    <w:rsid w:val="00B82000"/>
    <w:rsid w:val="00BE4D48"/>
    <w:rsid w:val="00C020CA"/>
    <w:rsid w:val="00C140DB"/>
    <w:rsid w:val="00C36266"/>
    <w:rsid w:val="00C61D4E"/>
    <w:rsid w:val="00C84F34"/>
    <w:rsid w:val="00C855E9"/>
    <w:rsid w:val="00CB7FF8"/>
    <w:rsid w:val="00CF493C"/>
    <w:rsid w:val="00D20207"/>
    <w:rsid w:val="00D50A16"/>
    <w:rsid w:val="00D920E1"/>
    <w:rsid w:val="00DB6CAB"/>
    <w:rsid w:val="00DC76DD"/>
    <w:rsid w:val="00DD182B"/>
    <w:rsid w:val="00E10BA5"/>
    <w:rsid w:val="00E3795D"/>
    <w:rsid w:val="00E47941"/>
    <w:rsid w:val="00E51FC0"/>
    <w:rsid w:val="00E668A7"/>
    <w:rsid w:val="00E956EC"/>
    <w:rsid w:val="00E95CC9"/>
    <w:rsid w:val="00EA1EF9"/>
    <w:rsid w:val="00EA7B5C"/>
    <w:rsid w:val="00EB24A9"/>
    <w:rsid w:val="00EB57A4"/>
    <w:rsid w:val="00ED3376"/>
    <w:rsid w:val="00ED3F0C"/>
    <w:rsid w:val="00EF4871"/>
    <w:rsid w:val="00EF5BFE"/>
    <w:rsid w:val="00F125B9"/>
    <w:rsid w:val="00F26820"/>
    <w:rsid w:val="00F461D6"/>
    <w:rsid w:val="00F57849"/>
    <w:rsid w:val="00F57E0C"/>
    <w:rsid w:val="00FC656B"/>
    <w:rsid w:val="00FD2B6F"/>
    <w:rsid w:val="00FD44B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CD7"/>
    <w:pPr>
      <w:spacing w:after="200"/>
    </w:pPr>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50A16"/>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er">
    <w:name w:val="footer"/>
    <w:basedOn w:val="Normal"/>
    <w:link w:val="FooterChar"/>
    <w:uiPriority w:val="99"/>
    <w:rsid w:val="007F0CAC"/>
    <w:pPr>
      <w:tabs>
        <w:tab w:val="center" w:pos="4819"/>
        <w:tab w:val="right" w:pos="9638"/>
      </w:tabs>
      <w:spacing w:after="0"/>
    </w:pPr>
  </w:style>
  <w:style w:type="character" w:customStyle="1" w:styleId="FooterChar">
    <w:name w:val="Footer Char"/>
    <w:basedOn w:val="DefaultParagraphFont"/>
    <w:link w:val="Footer"/>
    <w:uiPriority w:val="99"/>
    <w:locked/>
    <w:rsid w:val="007F0CAC"/>
    <w:rPr>
      <w:rFonts w:cs="Times New Roman"/>
    </w:rPr>
  </w:style>
  <w:style w:type="character" w:styleId="PageNumber">
    <w:name w:val="page number"/>
    <w:basedOn w:val="DefaultParagraphFont"/>
    <w:uiPriority w:val="99"/>
    <w:semiHidden/>
    <w:rsid w:val="007F0CAC"/>
    <w:rPr>
      <w:rFonts w:cs="Times New Roman"/>
    </w:rPr>
  </w:style>
  <w:style w:type="paragraph" w:styleId="Header">
    <w:name w:val="header"/>
    <w:basedOn w:val="Normal"/>
    <w:link w:val="HeaderChar"/>
    <w:uiPriority w:val="99"/>
    <w:semiHidden/>
    <w:rsid w:val="0025159B"/>
    <w:pPr>
      <w:tabs>
        <w:tab w:val="center" w:pos="4819"/>
        <w:tab w:val="right" w:pos="9638"/>
      </w:tabs>
      <w:spacing w:after="0"/>
    </w:pPr>
  </w:style>
  <w:style w:type="character" w:customStyle="1" w:styleId="HeaderChar">
    <w:name w:val="Header Char"/>
    <w:basedOn w:val="DefaultParagraphFont"/>
    <w:link w:val="Header"/>
    <w:uiPriority w:val="99"/>
    <w:semiHidden/>
    <w:locked/>
    <w:rsid w:val="0025159B"/>
    <w:rPr>
      <w:rFonts w:cs="Times New Roman"/>
    </w:rPr>
  </w:style>
  <w:style w:type="paragraph" w:styleId="BalloonText">
    <w:name w:val="Balloon Text"/>
    <w:basedOn w:val="Normal"/>
    <w:link w:val="BalloonTextChar"/>
    <w:uiPriority w:val="99"/>
    <w:semiHidden/>
    <w:rsid w:val="00E51FC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1FC0"/>
    <w:rPr>
      <w:rFonts w:ascii="Tahoma" w:hAnsi="Tahoma" w:cs="Tahoma"/>
      <w:sz w:val="16"/>
      <w:szCs w:val="16"/>
    </w:rPr>
  </w:style>
  <w:style w:type="paragraph" w:styleId="ListParagraph">
    <w:name w:val="List Paragraph"/>
    <w:basedOn w:val="Normal"/>
    <w:uiPriority w:val="99"/>
    <w:qFormat/>
    <w:rsid w:val="00EB24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1788</Words>
  <Characters>10195</Characters>
  <Application>Microsoft Office Outlook</Application>
  <DocSecurity>0</DocSecurity>
  <Lines>0</Lines>
  <Paragraphs>0</Paragraphs>
  <ScaleCrop>false</ScaleCrop>
  <Company>Daniele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CCNL ENERGIA</dc:title>
  <dc:subject/>
  <dc:creator/>
  <cp:keywords/>
  <dc:description/>
  <cp:lastModifiedBy>2</cp:lastModifiedBy>
  <cp:revision>2</cp:revision>
  <cp:lastPrinted>2012-10-23T13:01:00Z</cp:lastPrinted>
  <dcterms:created xsi:type="dcterms:W3CDTF">2012-10-25T11:51:00Z</dcterms:created>
  <dcterms:modified xsi:type="dcterms:W3CDTF">2012-10-25T11:51:00Z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1024</vt:i4>
  </property>
</Properties>
</file>