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DCE" w:rsidRPr="00FD06EF" w:rsidRDefault="00F51DCE" w:rsidP="00370484">
      <w:pPr>
        <w:spacing w:after="0" w:line="240" w:lineRule="auto"/>
        <w:ind w:firstLine="708"/>
        <w:jc w:val="center"/>
        <w:rPr>
          <w:rFonts w:ascii="Garamond" w:hAnsi="Garamond" w:cs="Calibri"/>
          <w:sz w:val="26"/>
          <w:szCs w:val="26"/>
          <w:u w:val="single"/>
        </w:rPr>
      </w:pPr>
      <w:r w:rsidRPr="00FD06EF">
        <w:rPr>
          <w:rFonts w:ascii="Garamond" w:hAnsi="Garamond" w:cs="Calibri"/>
          <w:sz w:val="26"/>
          <w:szCs w:val="26"/>
          <w:u w:val="single"/>
        </w:rPr>
        <w:t>Blocco del servizio taxi e diritti costituzionali dei cittadini</w:t>
      </w:r>
    </w:p>
    <w:p w:rsidR="00F51DCE" w:rsidRDefault="00F51DCE" w:rsidP="00370484">
      <w:pPr>
        <w:spacing w:after="0" w:line="240" w:lineRule="auto"/>
        <w:ind w:firstLine="708"/>
        <w:jc w:val="center"/>
        <w:rPr>
          <w:rFonts w:ascii="Garamond" w:hAnsi="Garamond" w:cs="Calibri"/>
          <w:sz w:val="26"/>
          <w:szCs w:val="26"/>
          <w:u w:val="single"/>
        </w:rPr>
      </w:pPr>
    </w:p>
    <w:p w:rsidR="00F51DCE" w:rsidRPr="00765FBD" w:rsidRDefault="00F51DCE" w:rsidP="00765FBD">
      <w:pPr>
        <w:spacing w:after="0" w:line="240" w:lineRule="auto"/>
        <w:jc w:val="both"/>
        <w:rPr>
          <w:rFonts w:ascii="Garamond" w:hAnsi="Garamond" w:cs="Calibri"/>
          <w:i/>
          <w:sz w:val="26"/>
          <w:szCs w:val="26"/>
        </w:rPr>
      </w:pPr>
      <w:r w:rsidRPr="00765FBD">
        <w:rPr>
          <w:rFonts w:ascii="Garamond" w:hAnsi="Garamond" w:cs="Calibri"/>
          <w:i/>
          <w:sz w:val="26"/>
          <w:szCs w:val="26"/>
        </w:rPr>
        <w:t>di Caterina Valeria Sgrò</w:t>
      </w:r>
    </w:p>
    <w:p w:rsidR="00F51DCE" w:rsidRPr="004D5D49" w:rsidRDefault="00F51DCE" w:rsidP="008A1EA5">
      <w:pPr>
        <w:spacing w:after="0" w:line="240" w:lineRule="auto"/>
        <w:jc w:val="both"/>
        <w:rPr>
          <w:rFonts w:ascii="Garamond" w:hAnsi="Garamond" w:cs="Calibri"/>
          <w:sz w:val="26"/>
          <w:szCs w:val="26"/>
          <w:u w:val="single"/>
        </w:rPr>
      </w:pPr>
    </w:p>
    <w:p w:rsidR="00F51DCE" w:rsidRDefault="00F51DCE" w:rsidP="00370484">
      <w:pPr>
        <w:spacing w:after="0" w:line="240" w:lineRule="auto"/>
        <w:ind w:firstLine="567"/>
        <w:jc w:val="both"/>
        <w:rPr>
          <w:rFonts w:ascii="Garamond" w:hAnsi="Garamond"/>
          <w:sz w:val="26"/>
          <w:szCs w:val="26"/>
        </w:rPr>
      </w:pPr>
      <w:r w:rsidRPr="00D83DF9">
        <w:rPr>
          <w:rFonts w:ascii="Garamond" w:hAnsi="Garamond" w:cs="Calibri"/>
          <w:sz w:val="26"/>
          <w:szCs w:val="26"/>
        </w:rPr>
        <w:t>La recente delibera</w:t>
      </w:r>
      <w:r>
        <w:rPr>
          <w:rFonts w:ascii="Garamond" w:hAnsi="Garamond" w:cs="Calibri"/>
          <w:sz w:val="26"/>
          <w:szCs w:val="26"/>
        </w:rPr>
        <w:t xml:space="preserve"> n. 12/270,</w:t>
      </w:r>
      <w:r w:rsidRPr="00D83DF9">
        <w:rPr>
          <w:rFonts w:ascii="Garamond" w:hAnsi="Garamond" w:cs="Calibri"/>
          <w:sz w:val="26"/>
          <w:szCs w:val="26"/>
        </w:rPr>
        <w:t xml:space="preserve"> adottata dalla Commissione di garanzia nei confronti de</w:t>
      </w:r>
      <w:r>
        <w:rPr>
          <w:rFonts w:ascii="Garamond" w:hAnsi="Garamond" w:cs="Calibri"/>
          <w:sz w:val="26"/>
          <w:szCs w:val="26"/>
        </w:rPr>
        <w:t xml:space="preserve">lle principali Associazioni dei tassisti, rappresenta l’atto finale di una lunga attività istruttoria che ha avuto ad oggetto le manifestazioni di protesta, </w:t>
      </w:r>
      <w:r w:rsidRPr="0039352B">
        <w:rPr>
          <w:rFonts w:ascii="Garamond" w:hAnsi="Garamond"/>
          <w:sz w:val="26"/>
          <w:szCs w:val="26"/>
        </w:rPr>
        <w:t>attuate a partire dal 12 gennaio 2012, da parte dei conducenti dei taxi in servizio presso i</w:t>
      </w:r>
      <w:r>
        <w:rPr>
          <w:rFonts w:ascii="Garamond" w:hAnsi="Garamond"/>
          <w:sz w:val="26"/>
          <w:szCs w:val="26"/>
        </w:rPr>
        <w:t xml:space="preserve"> Comuni di molte città italiane.</w:t>
      </w:r>
    </w:p>
    <w:p w:rsidR="00F51DCE" w:rsidRDefault="00F51DCE" w:rsidP="00310A43">
      <w:pPr>
        <w:spacing w:after="0" w:line="240" w:lineRule="auto"/>
        <w:ind w:firstLine="567"/>
        <w:jc w:val="both"/>
        <w:rPr>
          <w:rFonts w:ascii="Garamond" w:hAnsi="Garamond"/>
          <w:sz w:val="26"/>
          <w:szCs w:val="26"/>
        </w:rPr>
      </w:pPr>
      <w:r>
        <w:rPr>
          <w:rFonts w:ascii="Garamond" w:hAnsi="Garamond"/>
          <w:sz w:val="26"/>
          <w:szCs w:val="26"/>
        </w:rPr>
        <w:t>Sempre più spesso,</w:t>
      </w:r>
      <w:r w:rsidRPr="00BD5056">
        <w:rPr>
          <w:rFonts w:ascii="Garamond" w:hAnsi="Garamond"/>
          <w:sz w:val="26"/>
          <w:szCs w:val="26"/>
        </w:rPr>
        <w:t xml:space="preserve"> la Commissione </w:t>
      </w:r>
      <w:r>
        <w:rPr>
          <w:rFonts w:ascii="Garamond" w:hAnsi="Garamond"/>
          <w:sz w:val="26"/>
          <w:szCs w:val="26"/>
        </w:rPr>
        <w:t>si confronta</w:t>
      </w:r>
      <w:r w:rsidRPr="00BD5056">
        <w:rPr>
          <w:rFonts w:ascii="Garamond" w:hAnsi="Garamond"/>
          <w:sz w:val="26"/>
          <w:szCs w:val="26"/>
        </w:rPr>
        <w:t xml:space="preserve"> con un conflitto collettivo </w:t>
      </w:r>
      <w:r>
        <w:rPr>
          <w:rFonts w:ascii="Garamond" w:hAnsi="Garamond"/>
          <w:sz w:val="26"/>
          <w:szCs w:val="26"/>
        </w:rPr>
        <w:t xml:space="preserve">che si esprime </w:t>
      </w:r>
      <w:r w:rsidRPr="00BD5056">
        <w:rPr>
          <w:rFonts w:ascii="Garamond" w:hAnsi="Garamond"/>
          <w:sz w:val="26"/>
          <w:szCs w:val="26"/>
        </w:rPr>
        <w:t>con modalità atipiche</w:t>
      </w:r>
      <w:r>
        <w:rPr>
          <w:rFonts w:ascii="Garamond" w:hAnsi="Garamond"/>
          <w:sz w:val="26"/>
          <w:szCs w:val="26"/>
        </w:rPr>
        <w:t>; il che rende particolarmente difficoltosa l’individuazione de</w:t>
      </w:r>
      <w:r w:rsidRPr="0053364A">
        <w:rPr>
          <w:rFonts w:ascii="Garamond" w:hAnsi="Garamond"/>
          <w:sz w:val="26"/>
          <w:szCs w:val="26"/>
        </w:rPr>
        <w:t>i soggett</w:t>
      </w:r>
      <w:r>
        <w:rPr>
          <w:rFonts w:ascii="Garamond" w:hAnsi="Garamond"/>
          <w:sz w:val="26"/>
          <w:szCs w:val="26"/>
        </w:rPr>
        <w:t xml:space="preserve">i responsabili delle </w:t>
      </w:r>
      <w:r w:rsidRPr="0053364A">
        <w:rPr>
          <w:rFonts w:ascii="Garamond" w:hAnsi="Garamond"/>
          <w:sz w:val="26"/>
          <w:szCs w:val="26"/>
        </w:rPr>
        <w:t>iniziativ</w:t>
      </w:r>
      <w:r>
        <w:rPr>
          <w:rFonts w:ascii="Garamond" w:hAnsi="Garamond"/>
          <w:sz w:val="26"/>
          <w:szCs w:val="26"/>
        </w:rPr>
        <w:t>e</w:t>
      </w:r>
      <w:r w:rsidRPr="0053364A">
        <w:rPr>
          <w:rFonts w:ascii="Garamond" w:hAnsi="Garamond"/>
          <w:sz w:val="26"/>
          <w:szCs w:val="26"/>
        </w:rPr>
        <w:t xml:space="preserve"> </w:t>
      </w:r>
      <w:r>
        <w:rPr>
          <w:rFonts w:ascii="Garamond" w:hAnsi="Garamond"/>
          <w:sz w:val="26"/>
          <w:szCs w:val="26"/>
        </w:rPr>
        <w:t>di protesta, nonché la riconducibilità delle singole manifestazioni all’ambito di applicazione della legge n. 146 del 1990.</w:t>
      </w:r>
    </w:p>
    <w:p w:rsidR="00F51DCE" w:rsidRDefault="00F51DCE" w:rsidP="00E564CC">
      <w:pPr>
        <w:pStyle w:val="BodyTextIndent2"/>
        <w:ind w:left="0" w:firstLine="567"/>
        <w:rPr>
          <w:rFonts w:ascii="Garamond" w:hAnsi="Garamond"/>
          <w:sz w:val="26"/>
          <w:szCs w:val="26"/>
        </w:rPr>
      </w:pPr>
      <w:r>
        <w:rPr>
          <w:rFonts w:ascii="Garamond" w:hAnsi="Garamond"/>
          <w:sz w:val="26"/>
          <w:szCs w:val="26"/>
        </w:rPr>
        <w:t>Di fronte a scioperi improvvisi organizzati da comitati spontanei, l’Autorità di vigilanza deve ricercare</w:t>
      </w:r>
      <w:r w:rsidRPr="00D35568">
        <w:rPr>
          <w:rFonts w:ascii="Garamond" w:hAnsi="Garamond"/>
          <w:sz w:val="26"/>
          <w:szCs w:val="26"/>
        </w:rPr>
        <w:t>, caso per caso, una soluzione adeguata, che tenga conto, da un lato, dell</w:t>
      </w:r>
      <w:r>
        <w:rPr>
          <w:rFonts w:ascii="Garamond" w:hAnsi="Garamond"/>
          <w:sz w:val="26"/>
          <w:szCs w:val="26"/>
        </w:rPr>
        <w:t>e</w:t>
      </w:r>
      <w:r w:rsidRPr="00D35568">
        <w:rPr>
          <w:rFonts w:ascii="Garamond" w:hAnsi="Garamond"/>
          <w:sz w:val="26"/>
          <w:szCs w:val="26"/>
        </w:rPr>
        <w:t xml:space="preserve"> difficoltà di accertamento dell</w:t>
      </w:r>
      <w:r>
        <w:rPr>
          <w:rFonts w:ascii="Garamond" w:hAnsi="Garamond"/>
          <w:sz w:val="26"/>
          <w:szCs w:val="26"/>
        </w:rPr>
        <w:t>a</w:t>
      </w:r>
      <w:r w:rsidRPr="00D35568">
        <w:rPr>
          <w:rFonts w:ascii="Garamond" w:hAnsi="Garamond"/>
          <w:sz w:val="26"/>
          <w:szCs w:val="26"/>
        </w:rPr>
        <w:t xml:space="preserve"> responsabilità, in assenza di una stabile interlocuzione sindacale, dall’altro delle conseguenze dello sciopero selvaggio</w:t>
      </w:r>
      <w:r>
        <w:rPr>
          <w:rFonts w:ascii="Garamond" w:hAnsi="Garamond"/>
          <w:sz w:val="26"/>
          <w:szCs w:val="26"/>
        </w:rPr>
        <w:t>,</w:t>
      </w:r>
      <w:r w:rsidRPr="00D35568">
        <w:rPr>
          <w:rFonts w:ascii="Garamond" w:hAnsi="Garamond"/>
          <w:sz w:val="26"/>
          <w:szCs w:val="26"/>
        </w:rPr>
        <w:t xml:space="preserve"> particolarmente pernicios</w:t>
      </w:r>
      <w:r>
        <w:rPr>
          <w:rFonts w:ascii="Garamond" w:hAnsi="Garamond"/>
          <w:sz w:val="26"/>
          <w:szCs w:val="26"/>
        </w:rPr>
        <w:t>o</w:t>
      </w:r>
      <w:r w:rsidRPr="00D35568">
        <w:rPr>
          <w:rFonts w:ascii="Garamond" w:hAnsi="Garamond"/>
          <w:sz w:val="26"/>
          <w:szCs w:val="26"/>
        </w:rPr>
        <w:t>, dal punto di vista della funzion</w:t>
      </w:r>
      <w:r>
        <w:rPr>
          <w:rFonts w:ascii="Garamond" w:hAnsi="Garamond"/>
          <w:sz w:val="26"/>
          <w:szCs w:val="26"/>
        </w:rPr>
        <w:t>alità dei servizi</w:t>
      </w:r>
      <w:r w:rsidRPr="00D35568">
        <w:rPr>
          <w:rFonts w:ascii="Garamond" w:hAnsi="Garamond"/>
          <w:sz w:val="26"/>
          <w:szCs w:val="26"/>
        </w:rPr>
        <w:t>.</w:t>
      </w:r>
    </w:p>
    <w:p w:rsidR="00F51DCE" w:rsidRDefault="00F51DCE" w:rsidP="00E564CC">
      <w:pPr>
        <w:pStyle w:val="BodyTextIndent2"/>
        <w:ind w:left="0" w:firstLine="567"/>
        <w:rPr>
          <w:rFonts w:ascii="Garamond" w:hAnsi="Garamond"/>
          <w:sz w:val="26"/>
          <w:szCs w:val="26"/>
        </w:rPr>
      </w:pPr>
      <w:r w:rsidRPr="008929A0">
        <w:rPr>
          <w:rFonts w:ascii="Garamond" w:hAnsi="Garamond"/>
          <w:sz w:val="26"/>
          <w:szCs w:val="26"/>
        </w:rPr>
        <w:t>Inoltre, la realizzazione di forme di lotta si</w:t>
      </w:r>
      <w:r>
        <w:rPr>
          <w:rFonts w:ascii="Garamond" w:hAnsi="Garamond"/>
          <w:sz w:val="26"/>
          <w:szCs w:val="26"/>
        </w:rPr>
        <w:t>ndacale diverse dallo sciopero,</w:t>
      </w:r>
      <w:r w:rsidRPr="008929A0">
        <w:rPr>
          <w:rFonts w:ascii="Garamond" w:hAnsi="Garamond"/>
          <w:sz w:val="26"/>
          <w:szCs w:val="26"/>
        </w:rPr>
        <w:t xml:space="preserve"> le quali, per entità, durata o modalità di attuazione siano tali da provocare una significativa riduzione o disorganizzazione del servizio pubblico essenziale</w:t>
      </w:r>
      <w:r>
        <w:rPr>
          <w:rFonts w:ascii="Garamond" w:hAnsi="Garamond"/>
          <w:sz w:val="26"/>
          <w:szCs w:val="26"/>
        </w:rPr>
        <w:t>, hanno indotto la Commissione a riconsiderare la rigida interpretazione letterale della nozione di “astensione collettiva dal lavoro” ed a sottoporre tali forme di lotta atipiche agli obblighi di legge in materia</w:t>
      </w:r>
      <w:r w:rsidRPr="008929A0">
        <w:rPr>
          <w:rFonts w:ascii="Garamond" w:hAnsi="Garamond"/>
          <w:sz w:val="26"/>
          <w:szCs w:val="26"/>
        </w:rPr>
        <w:t xml:space="preserve"> di preavviso, di predeterminazione della durata, nonché di erogazione delle prestazioni indispensabili, al fine di salvaguardare il contenuto essenziale dei diritti degli utenti. </w:t>
      </w:r>
    </w:p>
    <w:p w:rsidR="00F51DCE" w:rsidRDefault="00F51DCE" w:rsidP="007F063C">
      <w:pPr>
        <w:pStyle w:val="BodyTextIndent2"/>
        <w:ind w:left="0" w:firstLine="567"/>
        <w:rPr>
          <w:rFonts w:ascii="Garamond" w:hAnsi="Garamond"/>
          <w:i/>
          <w:iCs/>
          <w:sz w:val="26"/>
          <w:szCs w:val="26"/>
          <w:lang w:eastAsia="en-US"/>
        </w:rPr>
      </w:pPr>
      <w:r>
        <w:rPr>
          <w:rFonts w:ascii="Garamond" w:hAnsi="Garamond"/>
          <w:sz w:val="26"/>
          <w:szCs w:val="26"/>
        </w:rPr>
        <w:t>Ad esempio,</w:t>
      </w:r>
      <w:r w:rsidRPr="008929A0">
        <w:rPr>
          <w:rFonts w:ascii="Garamond" w:hAnsi="Garamond"/>
          <w:sz w:val="26"/>
          <w:szCs w:val="26"/>
        </w:rPr>
        <w:t xml:space="preserve"> in </w:t>
      </w:r>
      <w:r>
        <w:rPr>
          <w:rFonts w:ascii="Garamond" w:hAnsi="Garamond"/>
          <w:sz w:val="26"/>
          <w:szCs w:val="26"/>
        </w:rPr>
        <w:t>caso</w:t>
      </w:r>
      <w:r w:rsidRPr="008929A0">
        <w:rPr>
          <w:rFonts w:ascii="Garamond" w:hAnsi="Garamond"/>
          <w:sz w:val="26"/>
          <w:szCs w:val="26"/>
        </w:rPr>
        <w:t xml:space="preserve"> di assemblea, al fine di evitare </w:t>
      </w:r>
      <w:r w:rsidRPr="008929A0">
        <w:rPr>
          <w:rFonts w:ascii="Garamond" w:hAnsi="Garamond"/>
          <w:sz w:val="26"/>
          <w:szCs w:val="26"/>
          <w:lang w:eastAsia="en-US"/>
        </w:rPr>
        <w:t>l’utilizzo improprio del relativo diritto, quale surrogato funzionale dello sciopero, con intento e</w:t>
      </w:r>
      <w:r>
        <w:rPr>
          <w:rFonts w:ascii="Garamond" w:hAnsi="Garamond"/>
          <w:sz w:val="26"/>
          <w:szCs w:val="26"/>
          <w:lang w:eastAsia="en-US"/>
        </w:rPr>
        <w:t>lusivo della relativa normativa, la Commissione ha stabilito che</w:t>
      </w:r>
      <w:r w:rsidRPr="008929A0">
        <w:rPr>
          <w:rFonts w:ascii="Garamond" w:hAnsi="Garamond"/>
          <w:sz w:val="26"/>
          <w:szCs w:val="26"/>
          <w:lang w:eastAsia="en-US"/>
        </w:rPr>
        <w:t xml:space="preserve"> “</w:t>
      </w:r>
      <w:r w:rsidRPr="008929A0">
        <w:rPr>
          <w:rFonts w:ascii="Garamond" w:hAnsi="Garamond"/>
          <w:i/>
          <w:iCs/>
          <w:sz w:val="26"/>
          <w:szCs w:val="26"/>
          <w:lang w:eastAsia="en-US"/>
        </w:rPr>
        <w:t xml:space="preserve">ogni assemblea che – pur convocata ai sensi dell’art. 20 della legge 300/1970 – si svolga con modalità differenti rispetto a quelle previste dalla contrattazione collettiva, ivi compresa la mancata assicurazione dei servizi minimi” </w:t>
      </w:r>
      <w:r>
        <w:rPr>
          <w:rFonts w:ascii="Garamond" w:hAnsi="Garamond"/>
          <w:sz w:val="26"/>
          <w:szCs w:val="26"/>
          <w:lang w:eastAsia="en-US"/>
        </w:rPr>
        <w:t>sia</w:t>
      </w:r>
      <w:r w:rsidRPr="008929A0">
        <w:rPr>
          <w:rFonts w:ascii="Garamond" w:hAnsi="Garamond"/>
          <w:sz w:val="26"/>
          <w:szCs w:val="26"/>
          <w:lang w:eastAsia="en-US"/>
        </w:rPr>
        <w:t xml:space="preserve"> da considerare “</w:t>
      </w:r>
      <w:r w:rsidRPr="008929A0">
        <w:rPr>
          <w:rFonts w:ascii="Garamond" w:hAnsi="Garamond"/>
          <w:i/>
          <w:iCs/>
          <w:sz w:val="26"/>
          <w:szCs w:val="26"/>
          <w:lang w:eastAsia="en-US"/>
        </w:rPr>
        <w:t>astensione dal lavoro soggetta alla disciplina della legge 146/1990 e successive modifiche, laddove incidente su servizi pubblici essenziali</w:t>
      </w:r>
      <w:r>
        <w:rPr>
          <w:rFonts w:ascii="Garamond" w:hAnsi="Garamond"/>
          <w:i/>
          <w:iCs/>
          <w:sz w:val="26"/>
          <w:szCs w:val="26"/>
          <w:lang w:eastAsia="en-US"/>
        </w:rPr>
        <w:t>.</w:t>
      </w:r>
    </w:p>
    <w:p w:rsidR="00F51DCE" w:rsidRPr="008929A0" w:rsidRDefault="00F51DCE" w:rsidP="00601D68">
      <w:pPr>
        <w:pStyle w:val="Corpodeltesto21"/>
        <w:ind w:left="0" w:firstLine="567"/>
        <w:rPr>
          <w:rFonts w:ascii="Garamond" w:hAnsi="Garamond"/>
          <w:szCs w:val="26"/>
        </w:rPr>
      </w:pPr>
      <w:r w:rsidRPr="008929A0">
        <w:rPr>
          <w:rFonts w:ascii="Garamond" w:hAnsi="Garamond"/>
          <w:szCs w:val="26"/>
        </w:rPr>
        <w:t xml:space="preserve">Le difficoltà </w:t>
      </w:r>
      <w:r>
        <w:rPr>
          <w:rFonts w:ascii="Garamond" w:hAnsi="Garamond"/>
          <w:szCs w:val="26"/>
        </w:rPr>
        <w:t xml:space="preserve">di accertamento </w:t>
      </w:r>
      <w:r w:rsidRPr="008929A0">
        <w:rPr>
          <w:rFonts w:ascii="Garamond" w:hAnsi="Garamond"/>
          <w:szCs w:val="26"/>
        </w:rPr>
        <w:t xml:space="preserve">sopra rappresentate si accentuano quando l’astensione riguarda i lavoratori autonomi, per i quali il meccanismo sanzionatorio, previsto dall’art. 4, comma 4, della legge n. 146 del 1990, e successive modificazioni, è più complesso. </w:t>
      </w:r>
    </w:p>
    <w:p w:rsidR="00F51DCE" w:rsidRDefault="00F51DCE" w:rsidP="00601D68">
      <w:pPr>
        <w:spacing w:after="0" w:line="240" w:lineRule="auto"/>
        <w:ind w:firstLine="567"/>
        <w:jc w:val="both"/>
        <w:rPr>
          <w:rFonts w:ascii="Garamond" w:hAnsi="Garamond"/>
          <w:sz w:val="26"/>
          <w:szCs w:val="26"/>
        </w:rPr>
      </w:pPr>
      <w:r w:rsidRPr="00A05B7D">
        <w:rPr>
          <w:rFonts w:ascii="Garamond" w:hAnsi="Garamond"/>
          <w:sz w:val="26"/>
          <w:szCs w:val="26"/>
        </w:rPr>
        <w:t>Non essendo, infatti, prospettabil</w:t>
      </w:r>
      <w:r>
        <w:rPr>
          <w:rFonts w:ascii="Garamond" w:hAnsi="Garamond"/>
          <w:sz w:val="26"/>
          <w:szCs w:val="26"/>
        </w:rPr>
        <w:t>e</w:t>
      </w:r>
      <w:r w:rsidRPr="00A05B7D">
        <w:rPr>
          <w:rFonts w:ascii="Garamond" w:hAnsi="Garamond"/>
          <w:sz w:val="26"/>
          <w:szCs w:val="26"/>
        </w:rPr>
        <w:t xml:space="preserve">, per tale categoria di lavoratori, </w:t>
      </w:r>
      <w:r>
        <w:rPr>
          <w:rFonts w:ascii="Garamond" w:hAnsi="Garamond"/>
          <w:sz w:val="26"/>
          <w:szCs w:val="26"/>
        </w:rPr>
        <w:t>l’azione disciplinare della controparte datoriale</w:t>
      </w:r>
      <w:r w:rsidRPr="00A05B7D">
        <w:rPr>
          <w:rFonts w:ascii="Garamond" w:hAnsi="Garamond"/>
          <w:sz w:val="26"/>
          <w:szCs w:val="26"/>
        </w:rPr>
        <w:t>, la norma prevede una sanzione amministrativa pecuniaria</w:t>
      </w:r>
      <w:r>
        <w:rPr>
          <w:rFonts w:ascii="Garamond" w:hAnsi="Garamond"/>
          <w:sz w:val="26"/>
          <w:szCs w:val="26"/>
        </w:rPr>
        <w:t>,</w:t>
      </w:r>
      <w:r w:rsidRPr="00A05B7D">
        <w:rPr>
          <w:rFonts w:ascii="Garamond" w:hAnsi="Garamond"/>
          <w:sz w:val="26"/>
          <w:szCs w:val="26"/>
        </w:rPr>
        <w:t xml:space="preserve"> sia per le associazioni o organismi rappresentativi che abbiano promosso un’astensione illegittima, sia per i singoli partecipanti</w:t>
      </w:r>
      <w:r>
        <w:rPr>
          <w:rFonts w:ascii="Garamond" w:hAnsi="Garamond"/>
          <w:sz w:val="26"/>
          <w:szCs w:val="26"/>
        </w:rPr>
        <w:t>, obbligati in solido.</w:t>
      </w:r>
      <w:r w:rsidRPr="00A05B7D">
        <w:rPr>
          <w:rFonts w:ascii="Garamond" w:hAnsi="Garamond"/>
          <w:sz w:val="26"/>
          <w:szCs w:val="26"/>
        </w:rPr>
        <w:t xml:space="preserve"> </w:t>
      </w:r>
    </w:p>
    <w:p w:rsidR="00F51DCE" w:rsidRDefault="00F51DCE" w:rsidP="00601D68">
      <w:pPr>
        <w:spacing w:after="0" w:line="240" w:lineRule="auto"/>
        <w:ind w:firstLine="567"/>
        <w:jc w:val="both"/>
        <w:rPr>
          <w:rFonts w:ascii="Garamond" w:hAnsi="Garamond"/>
          <w:sz w:val="26"/>
          <w:szCs w:val="26"/>
        </w:rPr>
      </w:pPr>
      <w:r>
        <w:rPr>
          <w:rFonts w:ascii="Garamond" w:hAnsi="Garamond"/>
          <w:sz w:val="26"/>
          <w:szCs w:val="26"/>
        </w:rPr>
        <w:t>Conseguentemente, quando le azioni conflittuali illegittime sono poste in essere da lavoratori autonomi, non può non considerarsi che il rischio di impunità è particolarmente accentuato, giacché risulta più agevole l’elusione della legge attraverso astensioni non precedute da un formale atto di proclamazione.</w:t>
      </w:r>
    </w:p>
    <w:p w:rsidR="00F51DCE" w:rsidRDefault="00F51DCE" w:rsidP="00601D68">
      <w:pPr>
        <w:spacing w:after="0" w:line="240" w:lineRule="auto"/>
        <w:ind w:firstLine="567"/>
        <w:jc w:val="both"/>
        <w:rPr>
          <w:rFonts w:ascii="Garamond" w:hAnsi="Garamond"/>
          <w:sz w:val="26"/>
          <w:szCs w:val="26"/>
        </w:rPr>
      </w:pPr>
      <w:r>
        <w:rPr>
          <w:rFonts w:ascii="Garamond" w:hAnsi="Garamond"/>
          <w:sz w:val="26"/>
          <w:szCs w:val="26"/>
        </w:rPr>
        <w:t>E infatti, sarebbe sufficiente una generica programmazione di azioni di mobilitazione o la proclamazione di una vera e propria astensione dal lavoro poi revocata per eludere le prescrizioni normative e, conseguentemente, le responsabilità connesse alla violazione delle stesse.</w:t>
      </w:r>
    </w:p>
    <w:p w:rsidR="00F51DCE" w:rsidRPr="00885BA6" w:rsidRDefault="00F51DCE" w:rsidP="00B91350">
      <w:pPr>
        <w:spacing w:after="0" w:line="240" w:lineRule="auto"/>
        <w:ind w:firstLine="567"/>
        <w:jc w:val="both"/>
        <w:rPr>
          <w:rFonts w:ascii="Garamond" w:hAnsi="Garamond"/>
          <w:sz w:val="26"/>
          <w:szCs w:val="26"/>
        </w:rPr>
      </w:pPr>
      <w:r>
        <w:rPr>
          <w:rFonts w:ascii="Garamond" w:hAnsi="Garamond"/>
          <w:sz w:val="26"/>
          <w:szCs w:val="26"/>
        </w:rPr>
        <w:t>Con la delibera in epigrafe, avente ad oggetto una protesta</w:t>
      </w:r>
      <w:r w:rsidRPr="00885BA6">
        <w:rPr>
          <w:rFonts w:ascii="Garamond" w:hAnsi="Garamond"/>
          <w:sz w:val="26"/>
          <w:szCs w:val="26"/>
        </w:rPr>
        <w:t xml:space="preserve"> </w:t>
      </w:r>
      <w:r>
        <w:rPr>
          <w:rFonts w:ascii="Garamond" w:hAnsi="Garamond"/>
          <w:sz w:val="26"/>
          <w:szCs w:val="26"/>
        </w:rPr>
        <w:t>di questo tipo, l’</w:t>
      </w:r>
      <w:r>
        <w:rPr>
          <w:rFonts w:ascii="Garamond" w:hAnsi="Garamond"/>
          <w:i/>
          <w:sz w:val="26"/>
          <w:szCs w:val="26"/>
        </w:rPr>
        <w:t>Authorit</w:t>
      </w:r>
      <w:r w:rsidRPr="00064836">
        <w:rPr>
          <w:rFonts w:ascii="Garamond" w:hAnsi="Garamond"/>
          <w:i/>
          <w:sz w:val="26"/>
          <w:szCs w:val="26"/>
        </w:rPr>
        <w:t>y</w:t>
      </w:r>
      <w:r>
        <w:rPr>
          <w:rFonts w:ascii="Garamond" w:hAnsi="Garamond"/>
          <w:i/>
          <w:sz w:val="26"/>
          <w:szCs w:val="26"/>
        </w:rPr>
        <w:t xml:space="preserve"> </w:t>
      </w:r>
      <w:r>
        <w:rPr>
          <w:rFonts w:ascii="Garamond" w:hAnsi="Garamond"/>
          <w:sz w:val="26"/>
          <w:szCs w:val="26"/>
        </w:rPr>
        <w:t xml:space="preserve">ha </w:t>
      </w:r>
      <w:r w:rsidRPr="00EB4EE9">
        <w:rPr>
          <w:rFonts w:ascii="Garamond" w:hAnsi="Garamond"/>
          <w:sz w:val="26"/>
          <w:szCs w:val="26"/>
        </w:rPr>
        <w:t>sanziona</w:t>
      </w:r>
      <w:r>
        <w:rPr>
          <w:rFonts w:ascii="Garamond" w:hAnsi="Garamond"/>
          <w:sz w:val="26"/>
          <w:szCs w:val="26"/>
        </w:rPr>
        <w:t>to</w:t>
      </w:r>
      <w:r w:rsidRPr="00EB4EE9">
        <w:rPr>
          <w:rFonts w:ascii="Garamond" w:hAnsi="Garamond"/>
          <w:sz w:val="26"/>
          <w:szCs w:val="26"/>
        </w:rPr>
        <w:t xml:space="preserve"> le Associazioni e Organizzazioni sindacali </w:t>
      </w:r>
      <w:r>
        <w:rPr>
          <w:rFonts w:ascii="Garamond" w:hAnsi="Garamond"/>
          <w:sz w:val="26"/>
          <w:szCs w:val="26"/>
        </w:rPr>
        <w:t xml:space="preserve">dei tassisti </w:t>
      </w:r>
      <w:r w:rsidRPr="00EB4EE9">
        <w:rPr>
          <w:rFonts w:ascii="Garamond" w:hAnsi="Garamond"/>
          <w:sz w:val="26"/>
          <w:szCs w:val="26"/>
        </w:rPr>
        <w:t xml:space="preserve">- riunitesi a Bologna in data 11 gennaio 2012 nel c.d. “Parlamentino Nazionale Taxi” - </w:t>
      </w:r>
      <w:r w:rsidRPr="00EB4EE9">
        <w:rPr>
          <w:rFonts w:ascii="Garamond" w:hAnsi="Garamond"/>
          <w:bCs/>
          <w:sz w:val="26"/>
          <w:szCs w:val="26"/>
        </w:rPr>
        <w:t xml:space="preserve">che, nel proclamare </w:t>
      </w:r>
      <w:r w:rsidRPr="00EB4EE9">
        <w:rPr>
          <w:rFonts w:ascii="Garamond" w:hAnsi="Garamond"/>
          <w:iCs/>
          <w:sz w:val="26"/>
          <w:szCs w:val="26"/>
        </w:rPr>
        <w:t>lo stato di mobilitazione nazionale</w:t>
      </w:r>
      <w:r>
        <w:rPr>
          <w:rFonts w:ascii="Garamond" w:hAnsi="Garamond"/>
          <w:iCs/>
          <w:sz w:val="26"/>
          <w:szCs w:val="26"/>
        </w:rPr>
        <w:t>,</w:t>
      </w:r>
      <w:r w:rsidRPr="00EB4EE9">
        <w:rPr>
          <w:rFonts w:ascii="Garamond" w:hAnsi="Garamond"/>
          <w:sz w:val="26"/>
          <w:szCs w:val="26"/>
        </w:rPr>
        <w:t xml:space="preserve"> per protestare contro le iniziative del Governo in materia di liberalizzazione delle licenze taxi</w:t>
      </w:r>
      <w:r>
        <w:rPr>
          <w:rFonts w:ascii="Garamond" w:hAnsi="Garamond"/>
          <w:sz w:val="26"/>
          <w:szCs w:val="26"/>
        </w:rPr>
        <w:t>,</w:t>
      </w:r>
      <w:r w:rsidRPr="00EB4EE9">
        <w:rPr>
          <w:rFonts w:ascii="Garamond" w:hAnsi="Garamond"/>
          <w:sz w:val="26"/>
          <w:szCs w:val="26"/>
        </w:rPr>
        <w:t xml:space="preserve"> deliberavano una serie iniziative di natura assembleare/partecipativa</w:t>
      </w:r>
      <w:r>
        <w:rPr>
          <w:rFonts w:ascii="Garamond" w:hAnsi="Garamond"/>
          <w:sz w:val="26"/>
          <w:szCs w:val="26"/>
        </w:rPr>
        <w:t>, invitando i propri iscritti a coordinar</w:t>
      </w:r>
      <w:r w:rsidRPr="00EB4EE9">
        <w:rPr>
          <w:rFonts w:ascii="Garamond" w:hAnsi="Garamond"/>
          <w:sz w:val="26"/>
          <w:szCs w:val="26"/>
        </w:rPr>
        <w:t xml:space="preserve">e </w:t>
      </w:r>
      <w:r>
        <w:rPr>
          <w:rFonts w:ascii="Garamond" w:hAnsi="Garamond"/>
          <w:sz w:val="26"/>
          <w:szCs w:val="26"/>
        </w:rPr>
        <w:t xml:space="preserve">le stesse </w:t>
      </w:r>
      <w:r w:rsidRPr="00EB4EE9">
        <w:rPr>
          <w:rFonts w:ascii="Garamond" w:hAnsi="Garamond"/>
          <w:sz w:val="26"/>
          <w:szCs w:val="26"/>
        </w:rPr>
        <w:t xml:space="preserve">con il parlamentino nazionale, </w:t>
      </w:r>
      <w:r>
        <w:rPr>
          <w:rFonts w:ascii="Garamond" w:hAnsi="Garamond"/>
          <w:sz w:val="26"/>
          <w:szCs w:val="26"/>
        </w:rPr>
        <w:t>finalizzate ad una</w:t>
      </w:r>
      <w:r w:rsidRPr="00EB4EE9">
        <w:rPr>
          <w:rFonts w:ascii="Garamond" w:hAnsi="Garamond"/>
          <w:sz w:val="26"/>
          <w:szCs w:val="26"/>
        </w:rPr>
        <w:t xml:space="preserve"> “</w:t>
      </w:r>
      <w:r w:rsidRPr="00EB4EE9">
        <w:rPr>
          <w:rFonts w:ascii="Garamond" w:hAnsi="Garamond"/>
          <w:i/>
          <w:sz w:val="26"/>
          <w:szCs w:val="26"/>
        </w:rPr>
        <w:t>sensibilizzazione dei cittadini, dell’utenza, degli amministratori Regionali, Provinciali, Comunali”</w:t>
      </w:r>
      <w:r w:rsidRPr="00EB4EE9">
        <w:rPr>
          <w:rFonts w:ascii="Garamond" w:hAnsi="Garamond"/>
          <w:sz w:val="26"/>
          <w:szCs w:val="26"/>
        </w:rPr>
        <w:t>,</w:t>
      </w:r>
      <w:r w:rsidRPr="00EB4EE9">
        <w:rPr>
          <w:rFonts w:ascii="Garamond" w:hAnsi="Garamond"/>
          <w:i/>
          <w:sz w:val="26"/>
          <w:szCs w:val="26"/>
        </w:rPr>
        <w:t xml:space="preserve"> </w:t>
      </w:r>
      <w:r>
        <w:rPr>
          <w:rFonts w:ascii="Garamond" w:hAnsi="Garamond"/>
          <w:sz w:val="26"/>
          <w:szCs w:val="26"/>
        </w:rPr>
        <w:t>in merito alla vertenza in atto;</w:t>
      </w:r>
      <w:r w:rsidRPr="00EB4EE9">
        <w:rPr>
          <w:rFonts w:ascii="Garamond" w:hAnsi="Garamond"/>
          <w:sz w:val="26"/>
          <w:szCs w:val="26"/>
        </w:rPr>
        <w:t xml:space="preserve"> </w:t>
      </w:r>
      <w:r>
        <w:rPr>
          <w:rFonts w:ascii="Garamond" w:hAnsi="Garamond"/>
          <w:sz w:val="26"/>
          <w:szCs w:val="26"/>
        </w:rPr>
        <w:t xml:space="preserve">pur precisando che ogni assemblea si sarebbe svolta </w:t>
      </w:r>
      <w:r w:rsidRPr="00EB4EE9">
        <w:rPr>
          <w:rFonts w:ascii="Garamond" w:hAnsi="Garamond"/>
          <w:i/>
          <w:sz w:val="26"/>
          <w:szCs w:val="26"/>
        </w:rPr>
        <w:t>“con la presenza di tassisti liberi dal servizio”</w:t>
      </w:r>
      <w:r>
        <w:rPr>
          <w:rFonts w:ascii="Garamond" w:hAnsi="Garamond"/>
          <w:i/>
          <w:sz w:val="26"/>
          <w:szCs w:val="26"/>
        </w:rPr>
        <w:t>.</w:t>
      </w:r>
    </w:p>
    <w:p w:rsidR="00F51DCE" w:rsidRDefault="00F51DCE" w:rsidP="00B91350">
      <w:pPr>
        <w:spacing w:after="0" w:line="240" w:lineRule="auto"/>
        <w:ind w:firstLine="567"/>
        <w:jc w:val="both"/>
        <w:rPr>
          <w:rFonts w:ascii="Garamond" w:hAnsi="Garamond"/>
          <w:sz w:val="26"/>
          <w:szCs w:val="26"/>
        </w:rPr>
      </w:pPr>
      <w:r>
        <w:rPr>
          <w:rFonts w:ascii="Garamond" w:hAnsi="Garamond"/>
          <w:sz w:val="26"/>
          <w:szCs w:val="26"/>
        </w:rPr>
        <w:t>L</w:t>
      </w:r>
      <w:r w:rsidRPr="00064836">
        <w:rPr>
          <w:rFonts w:ascii="Garamond" w:hAnsi="Garamond"/>
          <w:sz w:val="26"/>
          <w:szCs w:val="26"/>
        </w:rPr>
        <w:t>a Commissione è pervenuta alla conclusione che le molteplici manifestazioni di protesta, attuate con diversa durata e modalità dai tassisti, nelle principali città italiane, non fossero ascrivibili ad iniziative isolate di singoli lavoratori</w:t>
      </w:r>
      <w:r w:rsidRPr="00064836">
        <w:rPr>
          <w:rFonts w:ascii="Garamond" w:hAnsi="Garamond"/>
          <w:color w:val="212121"/>
          <w:sz w:val="26"/>
          <w:szCs w:val="26"/>
        </w:rPr>
        <w:t xml:space="preserve">, ma avessero una </w:t>
      </w:r>
      <w:r w:rsidRPr="00064836">
        <w:rPr>
          <w:rFonts w:ascii="Garamond" w:hAnsi="Garamond"/>
          <w:sz w:val="26"/>
          <w:szCs w:val="26"/>
        </w:rPr>
        <w:t>matrice comune, essendo riconducibili ad una iniziativa concertata a livello nazional</w:t>
      </w:r>
      <w:r>
        <w:rPr>
          <w:rFonts w:ascii="Garamond" w:hAnsi="Garamond"/>
          <w:sz w:val="26"/>
          <w:szCs w:val="26"/>
        </w:rPr>
        <w:t>e.</w:t>
      </w:r>
    </w:p>
    <w:p w:rsidR="00F51DCE" w:rsidRPr="00525F43" w:rsidRDefault="00F51DCE" w:rsidP="0006755F">
      <w:pPr>
        <w:spacing w:after="0" w:line="240" w:lineRule="auto"/>
        <w:ind w:firstLine="567"/>
        <w:jc w:val="both"/>
        <w:rPr>
          <w:rFonts w:ascii="Garamond" w:hAnsi="Garamond"/>
          <w:sz w:val="26"/>
          <w:szCs w:val="26"/>
        </w:rPr>
      </w:pPr>
      <w:r>
        <w:rPr>
          <w:rFonts w:ascii="Garamond" w:hAnsi="Garamond"/>
          <w:sz w:val="26"/>
          <w:szCs w:val="26"/>
        </w:rPr>
        <w:t>Significativa, in tal senso, è stata considerata l</w:t>
      </w:r>
      <w:r w:rsidRPr="00525F43">
        <w:rPr>
          <w:rFonts w:ascii="Garamond" w:hAnsi="Garamond"/>
          <w:sz w:val="26"/>
          <w:szCs w:val="26"/>
        </w:rPr>
        <w:t xml:space="preserve">a circostanza che dalla giornata immediatamente successiva alla proclamazione dello stato di mobilitazione </w:t>
      </w:r>
      <w:r w:rsidRPr="00925CDF">
        <w:rPr>
          <w:rFonts w:ascii="Garamond" w:hAnsi="Garamond"/>
          <w:sz w:val="26"/>
          <w:szCs w:val="26"/>
        </w:rPr>
        <w:t>fossero</w:t>
      </w:r>
      <w:r w:rsidRPr="00525F43">
        <w:rPr>
          <w:rFonts w:ascii="Garamond" w:hAnsi="Garamond"/>
          <w:sz w:val="26"/>
          <w:szCs w:val="26"/>
        </w:rPr>
        <w:t xml:space="preserve"> state organizzate, nelle principali città italiane, assemblee, da parte degli appartenenti alla categoria dei tassisti, che </w:t>
      </w:r>
      <w:r>
        <w:rPr>
          <w:rFonts w:ascii="Garamond" w:hAnsi="Garamond"/>
          <w:sz w:val="26"/>
          <w:szCs w:val="26"/>
        </w:rPr>
        <w:t>avevano</w:t>
      </w:r>
      <w:r w:rsidRPr="00525F43">
        <w:rPr>
          <w:rFonts w:ascii="Garamond" w:hAnsi="Garamond"/>
          <w:sz w:val="26"/>
          <w:szCs w:val="26"/>
        </w:rPr>
        <w:t xml:space="preserve"> comportato astensioni collettive dal servizio</w:t>
      </w:r>
      <w:r>
        <w:rPr>
          <w:rFonts w:ascii="Garamond" w:hAnsi="Garamond"/>
          <w:sz w:val="26"/>
          <w:szCs w:val="26"/>
        </w:rPr>
        <w:t xml:space="preserve">. </w:t>
      </w:r>
    </w:p>
    <w:p w:rsidR="00F51DCE" w:rsidRPr="000E0A4D" w:rsidRDefault="00F51DCE" w:rsidP="0006755F">
      <w:pPr>
        <w:spacing w:after="0" w:line="240" w:lineRule="auto"/>
        <w:ind w:firstLine="567"/>
        <w:jc w:val="both"/>
        <w:rPr>
          <w:rFonts w:ascii="Garamond" w:hAnsi="Garamond"/>
          <w:sz w:val="26"/>
          <w:szCs w:val="26"/>
        </w:rPr>
      </w:pPr>
      <w:r>
        <w:rPr>
          <w:rFonts w:ascii="Garamond" w:hAnsi="Garamond"/>
          <w:sz w:val="26"/>
          <w:szCs w:val="26"/>
        </w:rPr>
        <w:t xml:space="preserve">Più in particolare, la ricostruzione degli eventi ha evidenziato una precisa </w:t>
      </w:r>
      <w:r w:rsidRPr="000E0A4D">
        <w:rPr>
          <w:rFonts w:ascii="Garamond" w:hAnsi="Garamond"/>
          <w:sz w:val="26"/>
          <w:szCs w:val="26"/>
        </w:rPr>
        <w:t xml:space="preserve">relazione logica e cronologica </w:t>
      </w:r>
      <w:r>
        <w:rPr>
          <w:rFonts w:ascii="Garamond" w:hAnsi="Garamond"/>
          <w:sz w:val="26"/>
          <w:szCs w:val="26"/>
        </w:rPr>
        <w:t xml:space="preserve">e un </w:t>
      </w:r>
      <w:r w:rsidRPr="000E0A4D">
        <w:rPr>
          <w:rFonts w:ascii="Garamond" w:hAnsi="Garamond"/>
          <w:sz w:val="26"/>
          <w:szCs w:val="26"/>
        </w:rPr>
        <w:t>immediato e diretto rapporto tra la proclamazione delle iniziative di lotta, da parte del “Parlamentino Nazionale Taxi”, e le astensioni dal lavoro effettuate dagli appartenenti alla categoria dei tassisti</w:t>
      </w:r>
      <w:r>
        <w:rPr>
          <w:rFonts w:ascii="Garamond" w:hAnsi="Garamond"/>
          <w:sz w:val="26"/>
          <w:szCs w:val="26"/>
        </w:rPr>
        <w:t>. Presunzioni gravi, precise e concordati,</w:t>
      </w:r>
      <w:r w:rsidRPr="000E0A4D">
        <w:rPr>
          <w:rFonts w:ascii="Garamond" w:hAnsi="Garamond"/>
          <w:sz w:val="26"/>
          <w:szCs w:val="26"/>
        </w:rPr>
        <w:t xml:space="preserve"> </w:t>
      </w:r>
      <w:r>
        <w:rPr>
          <w:rFonts w:ascii="Garamond" w:hAnsi="Garamond"/>
          <w:sz w:val="26"/>
          <w:szCs w:val="26"/>
        </w:rPr>
        <w:t xml:space="preserve">ai fini della riconducibilità delle azioni di protesta selvaggia agli organismi nazionali di rappresentanza della categoria, secondo l’Autorità. </w:t>
      </w:r>
    </w:p>
    <w:p w:rsidR="00F51DCE" w:rsidRDefault="00F51DCE" w:rsidP="00472F99">
      <w:pPr>
        <w:spacing w:after="0" w:line="240" w:lineRule="auto"/>
        <w:ind w:firstLine="567"/>
        <w:jc w:val="both"/>
        <w:rPr>
          <w:rFonts w:ascii="Garamond" w:hAnsi="Garamond"/>
          <w:sz w:val="26"/>
          <w:szCs w:val="26"/>
        </w:rPr>
      </w:pPr>
      <w:r>
        <w:rPr>
          <w:rFonts w:ascii="Garamond" w:hAnsi="Garamond"/>
          <w:sz w:val="26"/>
          <w:szCs w:val="26"/>
        </w:rPr>
        <w:t xml:space="preserve">Inoltre, </w:t>
      </w:r>
      <w:r w:rsidRPr="00525F43">
        <w:rPr>
          <w:rFonts w:ascii="Garamond" w:hAnsi="Garamond"/>
          <w:sz w:val="26"/>
          <w:szCs w:val="26"/>
        </w:rPr>
        <w:t>l’espresso invito, rivolto dalle Associazioni di categoria, ad intraprendere, a livello locale, “</w:t>
      </w:r>
      <w:r w:rsidRPr="00525F43">
        <w:rPr>
          <w:rFonts w:ascii="Garamond" w:hAnsi="Garamond"/>
          <w:i/>
          <w:sz w:val="26"/>
          <w:szCs w:val="26"/>
        </w:rPr>
        <w:t>iniziative coordinate</w:t>
      </w:r>
      <w:r w:rsidRPr="00525F43">
        <w:rPr>
          <w:rFonts w:ascii="Garamond" w:hAnsi="Garamond"/>
          <w:sz w:val="26"/>
          <w:szCs w:val="26"/>
        </w:rPr>
        <w:t>” “</w:t>
      </w:r>
      <w:r w:rsidRPr="00525F43">
        <w:rPr>
          <w:rFonts w:ascii="Garamond" w:hAnsi="Garamond"/>
          <w:i/>
          <w:sz w:val="26"/>
          <w:szCs w:val="26"/>
        </w:rPr>
        <w:t>con il parlamentino nazionale</w:t>
      </w:r>
      <w:r w:rsidRPr="00525F43">
        <w:rPr>
          <w:rFonts w:ascii="Garamond" w:hAnsi="Garamond"/>
          <w:sz w:val="26"/>
          <w:szCs w:val="26"/>
        </w:rPr>
        <w:t>” “</w:t>
      </w:r>
      <w:r w:rsidRPr="00525F43">
        <w:rPr>
          <w:rFonts w:ascii="Garamond" w:hAnsi="Garamond"/>
          <w:i/>
          <w:sz w:val="26"/>
          <w:szCs w:val="26"/>
        </w:rPr>
        <w:t>di natura assembleare/partecipativa</w:t>
      </w:r>
      <w:r w:rsidRPr="00525F43">
        <w:rPr>
          <w:rFonts w:ascii="Garamond" w:hAnsi="Garamond"/>
          <w:sz w:val="26"/>
          <w:szCs w:val="26"/>
        </w:rPr>
        <w:t xml:space="preserve">” si è rivelato, nei fatti, </w:t>
      </w:r>
      <w:r>
        <w:rPr>
          <w:rFonts w:ascii="Garamond" w:hAnsi="Garamond"/>
          <w:sz w:val="26"/>
          <w:szCs w:val="26"/>
        </w:rPr>
        <w:t xml:space="preserve">- secondo la Commissione – </w:t>
      </w:r>
      <w:r w:rsidRPr="00525F43">
        <w:rPr>
          <w:rFonts w:ascii="Garamond" w:hAnsi="Garamond"/>
          <w:sz w:val="26"/>
          <w:szCs w:val="26"/>
        </w:rPr>
        <w:t>un</w:t>
      </w:r>
      <w:r>
        <w:rPr>
          <w:rFonts w:ascii="Garamond" w:hAnsi="Garamond"/>
          <w:sz w:val="26"/>
          <w:szCs w:val="26"/>
        </w:rPr>
        <w:t>’</w:t>
      </w:r>
      <w:r w:rsidRPr="00525F43">
        <w:rPr>
          <w:rFonts w:ascii="Garamond" w:hAnsi="Garamond"/>
          <w:sz w:val="26"/>
          <w:szCs w:val="26"/>
        </w:rPr>
        <w:t>incita</w:t>
      </w:r>
      <w:r>
        <w:rPr>
          <w:rFonts w:ascii="Garamond" w:hAnsi="Garamond"/>
          <w:sz w:val="26"/>
          <w:szCs w:val="26"/>
        </w:rPr>
        <w:t>mento, rivolto</w:t>
      </w:r>
      <w:r w:rsidRPr="00525F43">
        <w:rPr>
          <w:rFonts w:ascii="Garamond" w:hAnsi="Garamond"/>
          <w:sz w:val="26"/>
          <w:szCs w:val="26"/>
        </w:rPr>
        <w:t xml:space="preserve"> ai propri iscritti, a riunirsi in assemblea con il rischio, concreto e presumibile, considerata la delicatezza della vertenza ed i noti precedenti, di interruzione del servizio</w:t>
      </w:r>
      <w:r>
        <w:rPr>
          <w:rFonts w:ascii="Garamond" w:hAnsi="Garamond"/>
          <w:sz w:val="26"/>
          <w:szCs w:val="26"/>
        </w:rPr>
        <w:t>.</w:t>
      </w:r>
    </w:p>
    <w:p w:rsidR="00F51DCE" w:rsidRPr="00B7789C" w:rsidRDefault="00F51DCE" w:rsidP="00472F99">
      <w:pPr>
        <w:spacing w:after="0" w:line="240" w:lineRule="auto"/>
        <w:ind w:firstLine="567"/>
        <w:jc w:val="both"/>
        <w:rPr>
          <w:sz w:val="26"/>
          <w:szCs w:val="26"/>
        </w:rPr>
      </w:pPr>
      <w:r>
        <w:rPr>
          <w:rFonts w:ascii="Garamond" w:hAnsi="Garamond"/>
          <w:sz w:val="26"/>
          <w:szCs w:val="26"/>
        </w:rPr>
        <w:t xml:space="preserve">Peraltro, </w:t>
      </w:r>
      <w:r w:rsidRPr="00B7789C">
        <w:rPr>
          <w:rFonts w:ascii="Garamond" w:hAnsi="Garamond"/>
          <w:sz w:val="26"/>
          <w:szCs w:val="26"/>
        </w:rPr>
        <w:t>le modalità di attuazio</w:t>
      </w:r>
      <w:r>
        <w:rPr>
          <w:rFonts w:ascii="Garamond" w:hAnsi="Garamond"/>
          <w:sz w:val="26"/>
          <w:szCs w:val="26"/>
        </w:rPr>
        <w:t>ne della protesta, organizzata</w:t>
      </w:r>
      <w:r w:rsidRPr="00B7789C">
        <w:rPr>
          <w:rFonts w:ascii="Garamond" w:hAnsi="Garamond"/>
          <w:sz w:val="26"/>
          <w:szCs w:val="26"/>
        </w:rPr>
        <w:t xml:space="preserve"> in luoghi pubblici, coincidenti con punti nevralgici delle città, </w:t>
      </w:r>
      <w:r>
        <w:rPr>
          <w:rFonts w:ascii="Garamond" w:hAnsi="Garamond"/>
          <w:sz w:val="26"/>
          <w:szCs w:val="26"/>
        </w:rPr>
        <w:t xml:space="preserve">la scelta di colpire servizi particolarmente sensibili (aeroporti, stazioni o snodi essenziali per il traffico cittadino), </w:t>
      </w:r>
      <w:r w:rsidRPr="00B7789C">
        <w:rPr>
          <w:rFonts w:ascii="Garamond" w:hAnsi="Garamond"/>
          <w:sz w:val="26"/>
          <w:szCs w:val="26"/>
        </w:rPr>
        <w:t>ed i conseguenti effetti pregiudizievoli sugli utenti del servizio</w:t>
      </w:r>
      <w:r>
        <w:rPr>
          <w:rFonts w:ascii="Garamond" w:hAnsi="Garamond"/>
          <w:sz w:val="26"/>
          <w:szCs w:val="26"/>
        </w:rPr>
        <w:t>,</w:t>
      </w:r>
      <w:r w:rsidRPr="00B7789C">
        <w:rPr>
          <w:rFonts w:ascii="Garamond" w:hAnsi="Garamond"/>
          <w:sz w:val="26"/>
          <w:szCs w:val="26"/>
        </w:rPr>
        <w:t xml:space="preserve"> provano</w:t>
      </w:r>
      <w:r>
        <w:rPr>
          <w:rFonts w:ascii="Garamond" w:hAnsi="Garamond"/>
          <w:sz w:val="26"/>
          <w:szCs w:val="26"/>
        </w:rPr>
        <w:t xml:space="preserve"> - secondo la Commissione -</w:t>
      </w:r>
      <w:r w:rsidRPr="00B7789C">
        <w:rPr>
          <w:rFonts w:ascii="Garamond" w:hAnsi="Garamond"/>
          <w:sz w:val="26"/>
          <w:szCs w:val="26"/>
        </w:rPr>
        <w:t xml:space="preserve"> che non si è trattato di </w:t>
      </w:r>
      <w:r w:rsidRPr="00B7789C">
        <w:rPr>
          <w:rFonts w:ascii="Garamond" w:hAnsi="Garamond"/>
          <w:color w:val="212121"/>
          <w:sz w:val="26"/>
          <w:szCs w:val="26"/>
        </w:rPr>
        <w:t xml:space="preserve">un </w:t>
      </w:r>
      <w:r w:rsidRPr="00B7789C">
        <w:rPr>
          <w:rFonts w:ascii="Garamond" w:hAnsi="Garamond"/>
          <w:color w:val="313131"/>
          <w:sz w:val="26"/>
          <w:szCs w:val="26"/>
        </w:rPr>
        <w:t xml:space="preserve">singolo </w:t>
      </w:r>
      <w:r w:rsidRPr="00B7789C">
        <w:rPr>
          <w:rFonts w:ascii="Garamond" w:hAnsi="Garamond"/>
          <w:color w:val="212121"/>
          <w:sz w:val="26"/>
          <w:szCs w:val="26"/>
        </w:rPr>
        <w:t xml:space="preserve">episodio </w:t>
      </w:r>
      <w:r w:rsidRPr="00B7789C">
        <w:rPr>
          <w:rFonts w:ascii="Garamond" w:hAnsi="Garamond"/>
          <w:color w:val="313131"/>
          <w:sz w:val="26"/>
          <w:szCs w:val="26"/>
        </w:rPr>
        <w:t xml:space="preserve">"sfuggito al </w:t>
      </w:r>
      <w:r w:rsidRPr="00B7789C">
        <w:rPr>
          <w:rFonts w:ascii="Garamond" w:hAnsi="Garamond"/>
          <w:color w:val="212121"/>
          <w:sz w:val="26"/>
          <w:szCs w:val="26"/>
        </w:rPr>
        <w:t xml:space="preserve">controllo" degli </w:t>
      </w:r>
      <w:r w:rsidRPr="00B7789C">
        <w:rPr>
          <w:rFonts w:ascii="Garamond" w:hAnsi="Garamond"/>
          <w:color w:val="313131"/>
          <w:sz w:val="26"/>
          <w:szCs w:val="26"/>
        </w:rPr>
        <w:t xml:space="preserve">organizzatori, bensì di una chiara volontà di </w:t>
      </w:r>
      <w:r w:rsidRPr="00B7789C">
        <w:rPr>
          <w:rFonts w:ascii="Garamond" w:hAnsi="Garamond"/>
          <w:sz w:val="26"/>
          <w:szCs w:val="26"/>
        </w:rPr>
        <w:t>porre in essere un’attività di concertazione e di proselitismo, potenzialmente idonea a coinvolgere anche tassisti in servizio, con un effetto vulnerante alla normale circolazione nelle strade urbane</w:t>
      </w:r>
      <w:r>
        <w:rPr>
          <w:rFonts w:ascii="Garamond" w:hAnsi="Garamond"/>
          <w:sz w:val="26"/>
          <w:szCs w:val="26"/>
        </w:rPr>
        <w:t>.</w:t>
      </w:r>
    </w:p>
    <w:p w:rsidR="00F51DCE" w:rsidRDefault="00F51DCE" w:rsidP="00472F99">
      <w:pPr>
        <w:spacing w:after="0" w:line="240" w:lineRule="auto"/>
        <w:ind w:firstLine="567"/>
        <w:jc w:val="both"/>
        <w:rPr>
          <w:rFonts w:ascii="Garamond" w:hAnsi="Garamond"/>
          <w:sz w:val="26"/>
          <w:szCs w:val="26"/>
        </w:rPr>
      </w:pPr>
      <w:r>
        <w:rPr>
          <w:rFonts w:ascii="Garamond" w:hAnsi="Garamond"/>
          <w:sz w:val="26"/>
          <w:szCs w:val="26"/>
        </w:rPr>
        <w:t>Sotto il profilo oggettivo, la valutazione negativa del comportamento, formulata dalla Commissione di garanzia, si fonda sulla violazione del “dovere di influenza</w:t>
      </w:r>
      <w:r w:rsidRPr="00925CDF">
        <w:rPr>
          <w:rFonts w:ascii="Garamond" w:hAnsi="Garamond"/>
          <w:sz w:val="26"/>
          <w:szCs w:val="26"/>
        </w:rPr>
        <w:t xml:space="preserve">” </w:t>
      </w:r>
      <w:r>
        <w:rPr>
          <w:rFonts w:ascii="Garamond" w:hAnsi="Garamond"/>
          <w:color w:val="000000"/>
          <w:sz w:val="26"/>
          <w:szCs w:val="26"/>
        </w:rPr>
        <w:t>che</w:t>
      </w:r>
      <w:r w:rsidRPr="00D11D5A">
        <w:rPr>
          <w:rFonts w:ascii="Garamond" w:hAnsi="Garamond"/>
          <w:color w:val="000000"/>
          <w:sz w:val="26"/>
          <w:szCs w:val="26"/>
        </w:rPr>
        <w:t xml:space="preserve"> impone al </w:t>
      </w:r>
      <w:r>
        <w:rPr>
          <w:rFonts w:ascii="Garamond" w:hAnsi="Garamond"/>
          <w:color w:val="000000"/>
          <w:sz w:val="26"/>
          <w:szCs w:val="26"/>
        </w:rPr>
        <w:t>sindacato,</w:t>
      </w:r>
      <w:r w:rsidRPr="00D11D5A">
        <w:rPr>
          <w:rFonts w:ascii="Garamond" w:hAnsi="Garamond"/>
          <w:color w:val="000000"/>
          <w:sz w:val="26"/>
          <w:szCs w:val="26"/>
        </w:rPr>
        <w:t xml:space="preserve"> promotore di un’azione di protesta</w:t>
      </w:r>
      <w:r>
        <w:rPr>
          <w:rFonts w:ascii="Garamond" w:hAnsi="Garamond"/>
          <w:color w:val="000000"/>
          <w:sz w:val="26"/>
          <w:szCs w:val="26"/>
        </w:rPr>
        <w:t>,</w:t>
      </w:r>
      <w:r w:rsidRPr="00D11D5A">
        <w:rPr>
          <w:rFonts w:ascii="Garamond" w:hAnsi="Garamond"/>
          <w:color w:val="000000"/>
          <w:sz w:val="26"/>
          <w:szCs w:val="26"/>
        </w:rPr>
        <w:t xml:space="preserve"> </w:t>
      </w:r>
      <w:r w:rsidRPr="00925CDF">
        <w:rPr>
          <w:rFonts w:ascii="Garamond" w:hAnsi="Garamond"/>
          <w:color w:val="000000"/>
          <w:sz w:val="26"/>
          <w:szCs w:val="26"/>
        </w:rPr>
        <w:t xml:space="preserve">di </w:t>
      </w:r>
      <w:r w:rsidRPr="00925CDF">
        <w:rPr>
          <w:rFonts w:ascii="Garamond" w:hAnsi="Garamond"/>
          <w:sz w:val="26"/>
          <w:szCs w:val="26"/>
        </w:rPr>
        <w:t>porre in essere ogni accorgimento per impedire che la protesta medesima sia attuata in violazione delle regole, realizzando una concreta</w:t>
      </w:r>
      <w:r w:rsidRPr="00925CDF">
        <w:rPr>
          <w:rFonts w:ascii="Garamond" w:hAnsi="Garamond"/>
          <w:b/>
          <w:color w:val="1F1F1F"/>
          <w:sz w:val="26"/>
          <w:szCs w:val="26"/>
        </w:rPr>
        <w:t xml:space="preserve"> </w:t>
      </w:r>
      <w:r w:rsidRPr="00925CDF">
        <w:rPr>
          <w:rFonts w:ascii="Garamond" w:hAnsi="Garamond"/>
          <w:color w:val="1F1F1F"/>
          <w:sz w:val="26"/>
          <w:szCs w:val="26"/>
        </w:rPr>
        <w:t>azione dissuasiva o sanzionatoria, nei confronti</w:t>
      </w:r>
      <w:r w:rsidRPr="00925CDF">
        <w:rPr>
          <w:rFonts w:ascii="Garamond" w:hAnsi="Garamond"/>
          <w:color w:val="000000"/>
          <w:sz w:val="26"/>
          <w:szCs w:val="26"/>
        </w:rPr>
        <w:t xml:space="preserve"> </w:t>
      </w:r>
      <w:r w:rsidRPr="00925CDF">
        <w:rPr>
          <w:rFonts w:ascii="Garamond" w:hAnsi="Garamond"/>
          <w:color w:val="1F1F1F"/>
          <w:sz w:val="26"/>
          <w:szCs w:val="26"/>
        </w:rPr>
        <w:t>dei singoli associati che abbiano violato eventuali disposizioni</w:t>
      </w:r>
      <w:r>
        <w:rPr>
          <w:rFonts w:ascii="Garamond" w:hAnsi="Garamond"/>
          <w:sz w:val="26"/>
          <w:szCs w:val="26"/>
        </w:rPr>
        <w:t>. Ciò, peraltro,</w:t>
      </w:r>
      <w:r w:rsidRPr="00925CDF">
        <w:rPr>
          <w:rFonts w:ascii="Garamond" w:hAnsi="Garamond"/>
          <w:sz w:val="26"/>
          <w:szCs w:val="26"/>
        </w:rPr>
        <w:t xml:space="preserve"> in coerenza con il principio generale per cui non impedire un evento, che si ha l’obbligo giuridico di impedire, equivale a cagionarlo (art. 40, comma 2</w:t>
      </w:r>
      <w:r>
        <w:rPr>
          <w:rFonts w:ascii="Garamond" w:hAnsi="Garamond"/>
          <w:sz w:val="26"/>
          <w:szCs w:val="26"/>
        </w:rPr>
        <w:t>,</w:t>
      </w:r>
      <w:r w:rsidRPr="00925CDF">
        <w:rPr>
          <w:rFonts w:ascii="Garamond" w:hAnsi="Garamond"/>
          <w:sz w:val="26"/>
          <w:szCs w:val="26"/>
        </w:rPr>
        <w:t xml:space="preserve"> c.p.).</w:t>
      </w:r>
    </w:p>
    <w:p w:rsidR="00F51DCE" w:rsidRDefault="00F51DCE" w:rsidP="00472F99">
      <w:pPr>
        <w:spacing w:after="0" w:line="240" w:lineRule="auto"/>
        <w:ind w:firstLine="567"/>
        <w:jc w:val="both"/>
        <w:rPr>
          <w:rFonts w:ascii="Garamond" w:hAnsi="Garamond"/>
          <w:sz w:val="26"/>
          <w:szCs w:val="26"/>
        </w:rPr>
      </w:pPr>
      <w:r w:rsidRPr="004D5D49">
        <w:rPr>
          <w:rFonts w:ascii="Garamond" w:hAnsi="Garamond"/>
          <w:sz w:val="26"/>
          <w:szCs w:val="26"/>
        </w:rPr>
        <w:t xml:space="preserve">Non di responsabilità oggettiva, dunque, si tratta </w:t>
      </w:r>
      <w:r>
        <w:rPr>
          <w:rFonts w:ascii="Garamond" w:hAnsi="Garamond"/>
          <w:sz w:val="26"/>
          <w:szCs w:val="26"/>
        </w:rPr>
        <w:t xml:space="preserve">ma della violazione di un autonomo obbligo, gravante sui soggetti collettivi che pianificano una mobilitazione di protesta, </w:t>
      </w:r>
      <w:r w:rsidRPr="00925CDF">
        <w:rPr>
          <w:rFonts w:ascii="Garamond" w:hAnsi="Garamond"/>
          <w:sz w:val="26"/>
          <w:szCs w:val="26"/>
        </w:rPr>
        <w:t xml:space="preserve">che impone, una volta proclamata l’agitazione, di porre regole chiare e di renderle note a tutte le articolazioni periferiche del sindacato stesso, in modo che ogni singolo lavoratore sappia o sia messo facilmente nelle condizioni di conoscere quali siano i limiti all’esercizio del proprio diritto </w:t>
      </w:r>
      <w:r>
        <w:rPr>
          <w:rFonts w:ascii="Garamond" w:hAnsi="Garamond"/>
          <w:sz w:val="26"/>
          <w:szCs w:val="26"/>
        </w:rPr>
        <w:t>all’astensione dal lavoro.</w:t>
      </w:r>
    </w:p>
    <w:p w:rsidR="00F51DCE" w:rsidRDefault="00F51DCE" w:rsidP="00472F99">
      <w:pPr>
        <w:tabs>
          <w:tab w:val="left" w:pos="-6096"/>
        </w:tabs>
        <w:spacing w:after="0" w:line="240" w:lineRule="auto"/>
        <w:ind w:firstLine="567"/>
        <w:jc w:val="both"/>
        <w:rPr>
          <w:rFonts w:ascii="Garamond" w:hAnsi="Garamond"/>
          <w:sz w:val="26"/>
          <w:szCs w:val="26"/>
        </w:rPr>
      </w:pPr>
      <w:r>
        <w:rPr>
          <w:rFonts w:ascii="Garamond" w:hAnsi="Garamond"/>
          <w:sz w:val="26"/>
          <w:szCs w:val="26"/>
        </w:rPr>
        <w:t xml:space="preserve">Ricorre, secondo la ricostruzione della Commissione, l’inadempimento di un obbligo giuridico di agire, o meglio, di impedire quei fatti illeciti compiuti dai soggetti appartenenti alla categoria, rispetto ai quali l’organismo rappresentativo ha una responsabilità di tipo omissivo; e ciò sia che si voglia configurare l’illecito di natura civile (art. 2055, comma 2, c.c.), sia che lo si voglia qualificare di natura amministrativa, </w:t>
      </w:r>
      <w:r w:rsidRPr="00E343FF">
        <w:rPr>
          <w:rFonts w:ascii="Garamond" w:hAnsi="Garamond"/>
          <w:sz w:val="26"/>
          <w:szCs w:val="26"/>
        </w:rPr>
        <w:t>in relazione agli omessi controlli, cui sono tenute le persone rivestite di autorità, direzione o vigilanza rispetto agli autori materiali della violazione</w:t>
      </w:r>
      <w:r>
        <w:rPr>
          <w:rFonts w:ascii="Garamond" w:hAnsi="Garamond"/>
          <w:sz w:val="26"/>
          <w:szCs w:val="26"/>
        </w:rPr>
        <w:t xml:space="preserve"> (art. 6, comma 2, della legge n. 689/81).</w:t>
      </w:r>
    </w:p>
    <w:p w:rsidR="00F51DCE" w:rsidRPr="00E343FF" w:rsidRDefault="00F51DCE" w:rsidP="00472F99">
      <w:pPr>
        <w:tabs>
          <w:tab w:val="left" w:pos="-6096"/>
        </w:tabs>
        <w:spacing w:after="0" w:line="240" w:lineRule="auto"/>
        <w:ind w:firstLine="567"/>
        <w:jc w:val="both"/>
        <w:rPr>
          <w:rFonts w:ascii="Garamond" w:hAnsi="Garamond"/>
          <w:sz w:val="26"/>
          <w:szCs w:val="26"/>
        </w:rPr>
      </w:pPr>
      <w:r>
        <w:rPr>
          <w:rFonts w:ascii="Garamond" w:hAnsi="Garamond"/>
          <w:sz w:val="26"/>
          <w:szCs w:val="26"/>
        </w:rPr>
        <w:t>E infatti, la indistinta responsabilità solidale prevista dalla legge, con riferimento alle associazioni e organismi rappresentativi dei lavoratori autonomi, professionisti e piccoli imprenditori, da un lato, e i singoli lavoratori autonomi, professionisti e piccoli imprenditori, dall’altro, prescinde dall’accertamento della intenzionalità della violazione delle norme e scaturisce anche dalla semplice negligenza o dall’omesso controllo o intervento da parte di chi, dopo aver “aperto” uno stato di mobilitazione, in un contesto già duramente conflittuale, non ne governa gli effetti.</w:t>
      </w:r>
    </w:p>
    <w:p w:rsidR="00F51DCE" w:rsidRPr="00AD211F" w:rsidRDefault="00F51DCE" w:rsidP="00472F99">
      <w:pPr>
        <w:spacing w:after="0" w:line="240" w:lineRule="auto"/>
        <w:ind w:firstLine="567"/>
        <w:jc w:val="both"/>
        <w:rPr>
          <w:rFonts w:ascii="Garamond" w:hAnsi="Garamond"/>
          <w:sz w:val="26"/>
          <w:szCs w:val="26"/>
        </w:rPr>
      </w:pPr>
      <w:r>
        <w:rPr>
          <w:rFonts w:ascii="Garamond" w:hAnsi="Garamond"/>
          <w:sz w:val="26"/>
          <w:szCs w:val="26"/>
        </w:rPr>
        <w:t xml:space="preserve">Nel caso </w:t>
      </w:r>
      <w:r w:rsidRPr="00697BD9">
        <w:rPr>
          <w:rFonts w:ascii="Garamond" w:hAnsi="Garamond"/>
          <w:i/>
          <w:sz w:val="26"/>
          <w:szCs w:val="26"/>
        </w:rPr>
        <w:t>de quo</w:t>
      </w:r>
      <w:r w:rsidRPr="00697BD9">
        <w:rPr>
          <w:rFonts w:ascii="Garamond" w:hAnsi="Garamond"/>
          <w:sz w:val="26"/>
          <w:szCs w:val="26"/>
        </w:rPr>
        <w:t>,</w:t>
      </w:r>
      <w:r>
        <w:rPr>
          <w:rFonts w:ascii="Garamond" w:hAnsi="Garamond"/>
          <w:i/>
          <w:sz w:val="26"/>
          <w:szCs w:val="26"/>
        </w:rPr>
        <w:t xml:space="preserve"> </w:t>
      </w:r>
      <w:r w:rsidRPr="00697BD9">
        <w:rPr>
          <w:rFonts w:ascii="Garamond" w:hAnsi="Garamond"/>
          <w:sz w:val="26"/>
          <w:szCs w:val="26"/>
        </w:rPr>
        <w:t>caratterizzato da un prevedibile rischio di degenerazione della protesta, si rendeva</w:t>
      </w:r>
      <w:r>
        <w:rPr>
          <w:rFonts w:ascii="Garamond" w:hAnsi="Garamond"/>
          <w:sz w:val="26"/>
          <w:szCs w:val="26"/>
        </w:rPr>
        <w:t>, pertanto,</w:t>
      </w:r>
      <w:r w:rsidRPr="00697BD9">
        <w:rPr>
          <w:rFonts w:ascii="Garamond" w:hAnsi="Garamond"/>
          <w:sz w:val="26"/>
          <w:szCs w:val="26"/>
        </w:rPr>
        <w:t xml:space="preserve"> necessario un esercizio ancor più scrupoloso del </w:t>
      </w:r>
      <w:r>
        <w:rPr>
          <w:rFonts w:ascii="Garamond" w:hAnsi="Garamond"/>
          <w:sz w:val="26"/>
          <w:szCs w:val="26"/>
        </w:rPr>
        <w:t>“</w:t>
      </w:r>
      <w:r w:rsidRPr="00697BD9">
        <w:rPr>
          <w:rFonts w:ascii="Garamond" w:hAnsi="Garamond"/>
          <w:sz w:val="26"/>
          <w:szCs w:val="26"/>
        </w:rPr>
        <w:t>dovere di influenza</w:t>
      </w:r>
      <w:r>
        <w:rPr>
          <w:rFonts w:ascii="Garamond" w:hAnsi="Garamond"/>
          <w:sz w:val="26"/>
          <w:szCs w:val="26"/>
        </w:rPr>
        <w:t>”</w:t>
      </w:r>
      <w:r w:rsidRPr="00697BD9">
        <w:rPr>
          <w:rFonts w:ascii="Garamond" w:hAnsi="Garamond"/>
          <w:sz w:val="26"/>
          <w:szCs w:val="26"/>
        </w:rPr>
        <w:t xml:space="preserve"> ed una più palese dissociazione da parte di chi non si riconosceva nelle modalità di attuazione della protesta</w:t>
      </w:r>
      <w:r>
        <w:rPr>
          <w:rFonts w:ascii="Garamond" w:hAnsi="Garamond"/>
          <w:sz w:val="26"/>
          <w:szCs w:val="26"/>
        </w:rPr>
        <w:t xml:space="preserve"> medesima; e ciò, anche </w:t>
      </w:r>
      <w:r w:rsidRPr="00AD211F">
        <w:rPr>
          <w:rFonts w:ascii="Garamond" w:hAnsi="Garamond"/>
          <w:sz w:val="26"/>
          <w:szCs w:val="26"/>
        </w:rPr>
        <w:t>in coerenza con il generale principio di buona fede e correttezza fissato dall’art. 1175 c.c.</w:t>
      </w:r>
      <w:r>
        <w:rPr>
          <w:rFonts w:ascii="Garamond" w:hAnsi="Garamond"/>
          <w:sz w:val="26"/>
          <w:szCs w:val="26"/>
        </w:rPr>
        <w:t xml:space="preserve"> e richiamato dall’art. 2, comma 6, della legge n. 146 del 1990, e successive modificazioni, che stigmatizza eventuali </w:t>
      </w:r>
      <w:r w:rsidRPr="00AD211F">
        <w:rPr>
          <w:rFonts w:ascii="Garamond" w:hAnsi="Garamond"/>
          <w:sz w:val="26"/>
          <w:szCs w:val="26"/>
        </w:rPr>
        <w:t>form</w:t>
      </w:r>
      <w:r>
        <w:rPr>
          <w:rFonts w:ascii="Garamond" w:hAnsi="Garamond"/>
          <w:sz w:val="26"/>
          <w:szCs w:val="26"/>
        </w:rPr>
        <w:t>e</w:t>
      </w:r>
      <w:r w:rsidRPr="00AD211F">
        <w:rPr>
          <w:rFonts w:ascii="Garamond" w:hAnsi="Garamond"/>
          <w:sz w:val="26"/>
          <w:szCs w:val="26"/>
        </w:rPr>
        <w:t xml:space="preserve"> sleal</w:t>
      </w:r>
      <w:r>
        <w:rPr>
          <w:rFonts w:ascii="Garamond" w:hAnsi="Garamond"/>
          <w:sz w:val="26"/>
          <w:szCs w:val="26"/>
        </w:rPr>
        <w:t>i</w:t>
      </w:r>
      <w:r w:rsidRPr="00AD211F">
        <w:rPr>
          <w:rFonts w:ascii="Garamond" w:hAnsi="Garamond"/>
          <w:sz w:val="26"/>
          <w:szCs w:val="26"/>
        </w:rPr>
        <w:t xml:space="preserve"> di azione sindacale</w:t>
      </w:r>
      <w:r>
        <w:rPr>
          <w:rFonts w:ascii="Garamond" w:hAnsi="Garamond"/>
          <w:sz w:val="26"/>
          <w:szCs w:val="26"/>
        </w:rPr>
        <w:t>.</w:t>
      </w:r>
    </w:p>
    <w:p w:rsidR="00F51DCE" w:rsidRDefault="00F51DCE" w:rsidP="00472F99">
      <w:pPr>
        <w:pStyle w:val="BodyTextIndent2"/>
        <w:ind w:left="0" w:firstLine="567"/>
        <w:rPr>
          <w:rFonts w:ascii="Garamond" w:hAnsi="Garamond"/>
          <w:sz w:val="26"/>
          <w:szCs w:val="26"/>
        </w:rPr>
      </w:pPr>
      <w:r>
        <w:rPr>
          <w:rFonts w:ascii="Garamond" w:hAnsi="Garamond"/>
          <w:sz w:val="26"/>
          <w:szCs w:val="26"/>
        </w:rPr>
        <w:t>Laddove tale formale dissociazione è mancata, la Commissione ha deliberato la sanzione “</w:t>
      </w:r>
      <w:r w:rsidRPr="004D5D49">
        <w:rPr>
          <w:rFonts w:ascii="Garamond" w:hAnsi="Garamond"/>
          <w:i/>
          <w:sz w:val="26"/>
          <w:szCs w:val="26"/>
        </w:rPr>
        <w:t>dovendosi ritenere provata la consapevole accettazione, da parte delle organizzazioni, del rischio di eventi illegittimi</w:t>
      </w:r>
      <w:r>
        <w:rPr>
          <w:rFonts w:ascii="Garamond" w:hAnsi="Garamond"/>
          <w:sz w:val="26"/>
          <w:szCs w:val="26"/>
        </w:rPr>
        <w:t xml:space="preserve">” </w:t>
      </w:r>
      <w:r w:rsidRPr="004D5D49">
        <w:rPr>
          <w:rFonts w:ascii="Garamond" w:hAnsi="Garamond"/>
          <w:sz w:val="26"/>
          <w:szCs w:val="26"/>
        </w:rPr>
        <w:t xml:space="preserve">e ciò, </w:t>
      </w:r>
      <w:r w:rsidRPr="004D5D49">
        <w:rPr>
          <w:rFonts w:ascii="Garamond" w:hAnsi="Garamond"/>
          <w:color w:val="000000"/>
          <w:sz w:val="26"/>
          <w:szCs w:val="26"/>
        </w:rPr>
        <w:t>indipendentemente dagli</w:t>
      </w:r>
      <w:r w:rsidRPr="004D5D49">
        <w:rPr>
          <w:rFonts w:ascii="Garamond" w:hAnsi="Garamond"/>
          <w:color w:val="303030"/>
          <w:sz w:val="26"/>
          <w:szCs w:val="26"/>
        </w:rPr>
        <w:t xml:space="preserve"> specifici </w:t>
      </w:r>
      <w:r w:rsidRPr="004D5D49">
        <w:rPr>
          <w:rFonts w:ascii="Garamond" w:hAnsi="Garamond"/>
          <w:color w:val="212121"/>
          <w:sz w:val="26"/>
          <w:szCs w:val="26"/>
        </w:rPr>
        <w:t xml:space="preserve">comportamenti illeciti posti in </w:t>
      </w:r>
      <w:r w:rsidRPr="004D5D49">
        <w:rPr>
          <w:rFonts w:ascii="Garamond" w:hAnsi="Garamond"/>
          <w:color w:val="303030"/>
          <w:sz w:val="26"/>
          <w:szCs w:val="26"/>
        </w:rPr>
        <w:t xml:space="preserve">essere </w:t>
      </w:r>
      <w:r w:rsidRPr="004D5D49">
        <w:rPr>
          <w:rFonts w:ascii="Garamond" w:hAnsi="Garamond"/>
          <w:color w:val="212121"/>
          <w:sz w:val="26"/>
          <w:szCs w:val="26"/>
        </w:rPr>
        <w:t xml:space="preserve">dai tassisti, </w:t>
      </w:r>
      <w:r w:rsidRPr="004D5D49">
        <w:rPr>
          <w:rFonts w:ascii="Garamond" w:hAnsi="Garamond"/>
          <w:i/>
          <w:color w:val="212121"/>
          <w:sz w:val="26"/>
          <w:szCs w:val="26"/>
        </w:rPr>
        <w:t>uti singuli</w:t>
      </w:r>
      <w:r>
        <w:rPr>
          <w:rFonts w:ascii="Garamond" w:hAnsi="Garamond"/>
          <w:i/>
          <w:color w:val="212121"/>
          <w:sz w:val="26"/>
          <w:szCs w:val="26"/>
        </w:rPr>
        <w:t>.</w:t>
      </w:r>
    </w:p>
    <w:p w:rsidR="00F51DCE" w:rsidRDefault="00F51DCE" w:rsidP="0006755F">
      <w:pPr>
        <w:tabs>
          <w:tab w:val="left" w:pos="-5954"/>
        </w:tabs>
        <w:spacing w:after="0" w:line="240" w:lineRule="auto"/>
        <w:ind w:firstLine="567"/>
        <w:jc w:val="both"/>
        <w:rPr>
          <w:rFonts w:ascii="Garamond" w:hAnsi="Garamond"/>
          <w:sz w:val="26"/>
          <w:szCs w:val="26"/>
        </w:rPr>
      </w:pPr>
      <w:r>
        <w:rPr>
          <w:rFonts w:ascii="Garamond" w:hAnsi="Garamond"/>
          <w:sz w:val="26"/>
          <w:szCs w:val="26"/>
        </w:rPr>
        <w:t xml:space="preserve">Conforta la Commissione, nel suo percorso elaborativo, la recentissima sentenza n. 3685/12 - acquisita dopo l’adozione della delibera </w:t>
      </w:r>
      <w:r w:rsidRPr="00E67456">
        <w:rPr>
          <w:rFonts w:ascii="Garamond" w:hAnsi="Garamond"/>
          <w:i/>
          <w:sz w:val="26"/>
          <w:szCs w:val="26"/>
        </w:rPr>
        <w:t>de qua</w:t>
      </w:r>
      <w:r>
        <w:rPr>
          <w:rFonts w:ascii="Garamond" w:hAnsi="Garamond"/>
          <w:sz w:val="26"/>
          <w:szCs w:val="26"/>
        </w:rPr>
        <w:t xml:space="preserve"> - con la quale la Corte d’Appello di Roma, accogliendo i rilievi dell’Autorità di garanzia, ha riformato la sentenza con la quale il Tribunale aveva annullato la delibera n. </w:t>
      </w:r>
      <w:r w:rsidRPr="00E67456">
        <w:rPr>
          <w:rFonts w:ascii="Garamond" w:hAnsi="Garamond"/>
          <w:sz w:val="26"/>
          <w:szCs w:val="26"/>
        </w:rPr>
        <w:t>06/497 del 19 settembre 2006</w:t>
      </w:r>
      <w:r>
        <w:rPr>
          <w:rFonts w:ascii="Garamond" w:hAnsi="Garamond"/>
          <w:sz w:val="26"/>
          <w:szCs w:val="26"/>
        </w:rPr>
        <w:t>, adottata nei confronti delle Associazioni dei tassisti, in occasione delle astensioni selvagge del 2006.</w:t>
      </w:r>
    </w:p>
    <w:p w:rsidR="00F51DCE" w:rsidRDefault="00F51DCE" w:rsidP="0006755F">
      <w:pPr>
        <w:tabs>
          <w:tab w:val="left" w:pos="-5954"/>
        </w:tabs>
        <w:spacing w:after="0" w:line="240" w:lineRule="auto"/>
        <w:ind w:firstLine="567"/>
        <w:jc w:val="both"/>
        <w:rPr>
          <w:rFonts w:ascii="Garamond" w:hAnsi="Garamond"/>
          <w:sz w:val="26"/>
          <w:szCs w:val="26"/>
        </w:rPr>
      </w:pPr>
      <w:r>
        <w:rPr>
          <w:rFonts w:ascii="Garamond" w:hAnsi="Garamond"/>
          <w:sz w:val="26"/>
          <w:szCs w:val="26"/>
        </w:rPr>
        <w:t>Il regime particolarmente rigoroso della responsabilità solidale, previsto dalla legge a carico delle associazioni e degli organismi rappresentativi della categoria, riveste – secondo il collegio giudicante - una fondamentale funzione di garanzia, a tutela dei diritti della persona costituzionalmente tutelati di consumatori e utenti. E, vista l’alta rilevanza dei diritti in questione, il legislatore pretende che un “garante” vi sia, non soltanto nella fase di regolazione generale ovvero particolare del singolo conflitto, ma anche nella fase di attuazione, affidandone la relativa funzione “</w:t>
      </w:r>
      <w:r w:rsidRPr="001E330C">
        <w:rPr>
          <w:rFonts w:ascii="Garamond" w:hAnsi="Garamond"/>
          <w:i/>
          <w:sz w:val="26"/>
          <w:szCs w:val="26"/>
        </w:rPr>
        <w:t>ai soggetti che – per il loro diretto e d immediato coinvolgimento – possono appunto assicurarne l’effettività, ossia a quei soggetti collettivi (di categoria) che, esercitando il loro tipico potere rappresentativo degli interessi della categoria di riferimento, assumano l’iniziativa della protesta</w:t>
      </w:r>
      <w:r>
        <w:rPr>
          <w:rFonts w:ascii="Garamond" w:hAnsi="Garamond"/>
          <w:sz w:val="26"/>
          <w:szCs w:val="26"/>
        </w:rPr>
        <w:t xml:space="preserve">” </w:t>
      </w:r>
    </w:p>
    <w:p w:rsidR="00F51DCE" w:rsidRDefault="00F51DCE" w:rsidP="0006755F">
      <w:pPr>
        <w:tabs>
          <w:tab w:val="left" w:pos="-5954"/>
        </w:tabs>
        <w:spacing w:after="0" w:line="240" w:lineRule="auto"/>
        <w:ind w:firstLine="567"/>
        <w:jc w:val="both"/>
        <w:rPr>
          <w:rFonts w:ascii="Garamond" w:hAnsi="Garamond"/>
          <w:sz w:val="26"/>
          <w:szCs w:val="26"/>
        </w:rPr>
      </w:pPr>
      <w:r>
        <w:rPr>
          <w:rFonts w:ascii="Garamond" w:hAnsi="Garamond"/>
          <w:sz w:val="26"/>
          <w:szCs w:val="26"/>
        </w:rPr>
        <w:t xml:space="preserve">Tale funzione di garanzia impone ai medesimi organi rappresentativi un preciso “obbligo giuridico di agire” di duplice contenuto: 1) assumere l’iniziativa della protesta in modo legittimo; 2) controllare che i singoli attuino la protesta in modo legittimo, ossia con astensioni dalle prestazioni che siano conformi alle legittime modalità indette o proclamate. </w:t>
      </w:r>
    </w:p>
    <w:p w:rsidR="00F51DCE" w:rsidRDefault="00F51DCE" w:rsidP="0006755F">
      <w:pPr>
        <w:tabs>
          <w:tab w:val="left" w:pos="-5954"/>
        </w:tabs>
        <w:spacing w:after="0" w:line="240" w:lineRule="auto"/>
        <w:ind w:firstLine="567"/>
        <w:jc w:val="both"/>
        <w:rPr>
          <w:rFonts w:ascii="Garamond" w:hAnsi="Garamond"/>
          <w:sz w:val="26"/>
          <w:szCs w:val="26"/>
        </w:rPr>
      </w:pPr>
      <w:r>
        <w:rPr>
          <w:rFonts w:ascii="Garamond" w:hAnsi="Garamond"/>
          <w:sz w:val="26"/>
          <w:szCs w:val="26"/>
        </w:rPr>
        <w:t>Si consolida, così, anche nella giurisprudenza, un principio affermato con forza dall’Organo di garanzia, in merito alla responsabilità degli organismi rappresentativi di una categoria di lavoratori ogni qualvolta venga accertato un “apporto concorsuale” alle illegittime manifestazioni di protesta poste in essere dai singoli lavoratori. Principio che spinge la Commissione ad essere molto scrupolosa nel distinguere i casi di vere e proprie astensioni spontanee, riconducibili all’iniziativa dei singoli lavoratori, dalle manifestazioni organizzate da soggetti collettivi sebbene non formalmente preavvisate</w:t>
      </w:r>
    </w:p>
    <w:p w:rsidR="00F51DCE" w:rsidRDefault="00F51DCE" w:rsidP="0006755F">
      <w:pPr>
        <w:spacing w:after="0" w:line="240" w:lineRule="auto"/>
        <w:ind w:firstLine="567"/>
        <w:jc w:val="both"/>
        <w:rPr>
          <w:rFonts w:ascii="Garamond" w:hAnsi="Garamond"/>
          <w:sz w:val="26"/>
          <w:szCs w:val="26"/>
        </w:rPr>
      </w:pPr>
      <w:r>
        <w:rPr>
          <w:rFonts w:ascii="Garamond" w:hAnsi="Garamond"/>
          <w:sz w:val="26"/>
          <w:szCs w:val="26"/>
        </w:rPr>
        <w:t>Al di là dell’esito processuale che la questione avrà (le Organizzazioni sindacali hanno già annunciato ricorso, ex art. 20-</w:t>
      </w:r>
      <w:r w:rsidRPr="004D4189">
        <w:rPr>
          <w:rFonts w:ascii="Garamond" w:hAnsi="Garamond"/>
          <w:i/>
          <w:sz w:val="26"/>
          <w:szCs w:val="26"/>
        </w:rPr>
        <w:t>bis</w:t>
      </w:r>
      <w:r>
        <w:rPr>
          <w:rFonts w:ascii="Garamond" w:hAnsi="Garamond"/>
          <w:sz w:val="26"/>
          <w:szCs w:val="26"/>
        </w:rPr>
        <w:t xml:space="preserve"> della legge n. 146 del 1990, e successive modificazioni), è utile evidenziare gli sforzi ermeneutici dell’Autorità di garanzia, nel tentativo di impedire meccanismi elusivi della normativa, </w:t>
      </w:r>
      <w:r w:rsidRPr="00310A1F">
        <w:rPr>
          <w:rFonts w:ascii="Garamond" w:hAnsi="Garamond"/>
          <w:sz w:val="26"/>
          <w:szCs w:val="26"/>
        </w:rPr>
        <w:t>ponendo al centro della propria azione i diritti dei cittadini utenti e le soluzioni per assicurarne una tutela effettiva e puntuale</w:t>
      </w:r>
      <w:r>
        <w:rPr>
          <w:rFonts w:ascii="Garamond" w:hAnsi="Garamond"/>
          <w:sz w:val="26"/>
          <w:szCs w:val="26"/>
        </w:rPr>
        <w:t>.</w:t>
      </w:r>
    </w:p>
    <w:p w:rsidR="00F51DCE" w:rsidRDefault="00F51DCE" w:rsidP="0006755F">
      <w:pPr>
        <w:spacing w:after="0" w:line="240" w:lineRule="auto"/>
        <w:ind w:firstLine="567"/>
        <w:jc w:val="both"/>
        <w:rPr>
          <w:rFonts w:ascii="Garamond" w:hAnsi="Garamond"/>
          <w:sz w:val="26"/>
          <w:szCs w:val="26"/>
        </w:rPr>
      </w:pPr>
    </w:p>
    <w:sectPr w:rsidR="00F51DCE" w:rsidSect="00AE7C72">
      <w:footerReference w:type="default" r:id="rId6"/>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1DCE" w:rsidRDefault="00F51DCE" w:rsidP="00370484">
      <w:pPr>
        <w:spacing w:after="0" w:line="240" w:lineRule="auto"/>
      </w:pPr>
      <w:r>
        <w:separator/>
      </w:r>
    </w:p>
  </w:endnote>
  <w:endnote w:type="continuationSeparator" w:id="0">
    <w:p w:rsidR="00F51DCE" w:rsidRDefault="00F51DCE" w:rsidP="003704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DCE" w:rsidRDefault="00F51DCE">
    <w:pPr>
      <w:pStyle w:val="Footer"/>
      <w:jc w:val="center"/>
    </w:pPr>
    <w:fldSimple w:instr=" PAGE   \* MERGEFORMAT ">
      <w:r>
        <w:rPr>
          <w:noProof/>
        </w:rPr>
        <w:t>1</w:t>
      </w:r>
    </w:fldSimple>
  </w:p>
  <w:p w:rsidR="00F51DCE" w:rsidRDefault="00F51DC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1DCE" w:rsidRDefault="00F51DCE" w:rsidP="00370484">
      <w:pPr>
        <w:spacing w:after="0" w:line="240" w:lineRule="auto"/>
      </w:pPr>
      <w:r>
        <w:separator/>
      </w:r>
    </w:p>
  </w:footnote>
  <w:footnote w:type="continuationSeparator" w:id="0">
    <w:p w:rsidR="00F51DCE" w:rsidRDefault="00F51DCE" w:rsidP="0037048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70484"/>
    <w:rsid w:val="00064836"/>
    <w:rsid w:val="0006755F"/>
    <w:rsid w:val="000E0A4D"/>
    <w:rsid w:val="001E330C"/>
    <w:rsid w:val="00224825"/>
    <w:rsid w:val="00260A74"/>
    <w:rsid w:val="0030450B"/>
    <w:rsid w:val="00310A1F"/>
    <w:rsid w:val="00310A43"/>
    <w:rsid w:val="00337687"/>
    <w:rsid w:val="00370484"/>
    <w:rsid w:val="0039352B"/>
    <w:rsid w:val="00472F99"/>
    <w:rsid w:val="004904EE"/>
    <w:rsid w:val="004C18CE"/>
    <w:rsid w:val="004D4189"/>
    <w:rsid w:val="004D5D49"/>
    <w:rsid w:val="00525F43"/>
    <w:rsid w:val="005266D7"/>
    <w:rsid w:val="00532BCF"/>
    <w:rsid w:val="0053364A"/>
    <w:rsid w:val="00556C1C"/>
    <w:rsid w:val="005A4793"/>
    <w:rsid w:val="00601D68"/>
    <w:rsid w:val="00690D28"/>
    <w:rsid w:val="006971E7"/>
    <w:rsid w:val="00697BD9"/>
    <w:rsid w:val="00712730"/>
    <w:rsid w:val="00765FBD"/>
    <w:rsid w:val="007B2471"/>
    <w:rsid w:val="007F063C"/>
    <w:rsid w:val="008216A3"/>
    <w:rsid w:val="00821E33"/>
    <w:rsid w:val="00885BA6"/>
    <w:rsid w:val="008929A0"/>
    <w:rsid w:val="008A1EA5"/>
    <w:rsid w:val="00925CDF"/>
    <w:rsid w:val="00997631"/>
    <w:rsid w:val="00A05B7D"/>
    <w:rsid w:val="00A201DF"/>
    <w:rsid w:val="00AD211F"/>
    <w:rsid w:val="00AE7372"/>
    <w:rsid w:val="00AE7C72"/>
    <w:rsid w:val="00B20469"/>
    <w:rsid w:val="00B7789C"/>
    <w:rsid w:val="00B91350"/>
    <w:rsid w:val="00BD5056"/>
    <w:rsid w:val="00C3416A"/>
    <w:rsid w:val="00C34E03"/>
    <w:rsid w:val="00CC013B"/>
    <w:rsid w:val="00CD211A"/>
    <w:rsid w:val="00D11D5A"/>
    <w:rsid w:val="00D35568"/>
    <w:rsid w:val="00D83DF9"/>
    <w:rsid w:val="00E343FF"/>
    <w:rsid w:val="00E564CC"/>
    <w:rsid w:val="00E67456"/>
    <w:rsid w:val="00EB4EE9"/>
    <w:rsid w:val="00F46923"/>
    <w:rsid w:val="00F51DCE"/>
    <w:rsid w:val="00FA0744"/>
    <w:rsid w:val="00FC4142"/>
    <w:rsid w:val="00FD06EF"/>
    <w:rsid w:val="00FF3162"/>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484"/>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370484"/>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370484"/>
    <w:rPr>
      <w:rFonts w:cs="Times New Roman"/>
      <w:sz w:val="20"/>
      <w:szCs w:val="20"/>
    </w:rPr>
  </w:style>
  <w:style w:type="character" w:styleId="FootnoteReference">
    <w:name w:val="footnote reference"/>
    <w:basedOn w:val="DefaultParagraphFont"/>
    <w:uiPriority w:val="99"/>
    <w:semiHidden/>
    <w:rsid w:val="00370484"/>
    <w:rPr>
      <w:rFonts w:cs="Times New Roman"/>
      <w:vertAlign w:val="superscript"/>
    </w:rPr>
  </w:style>
  <w:style w:type="paragraph" w:customStyle="1" w:styleId="Corpodeltesto21">
    <w:name w:val="Corpo del testo 21"/>
    <w:basedOn w:val="Normal"/>
    <w:uiPriority w:val="99"/>
    <w:rsid w:val="00A201DF"/>
    <w:pPr>
      <w:overflowPunct w:val="0"/>
      <w:autoSpaceDE w:val="0"/>
      <w:autoSpaceDN w:val="0"/>
      <w:adjustRightInd w:val="0"/>
      <w:spacing w:after="0" w:line="240" w:lineRule="auto"/>
      <w:ind w:left="1430" w:hanging="1430"/>
      <w:jc w:val="both"/>
    </w:pPr>
    <w:rPr>
      <w:rFonts w:ascii="Times New Roman" w:eastAsia="Times New Roman" w:hAnsi="Times New Roman"/>
      <w:sz w:val="26"/>
      <w:szCs w:val="20"/>
      <w:lang w:eastAsia="it-IT"/>
    </w:rPr>
  </w:style>
  <w:style w:type="paragraph" w:styleId="BodyTextIndent2">
    <w:name w:val="Body Text Indent 2"/>
    <w:basedOn w:val="Normal"/>
    <w:link w:val="BodyTextIndent2Char"/>
    <w:uiPriority w:val="99"/>
    <w:semiHidden/>
    <w:rsid w:val="00E564CC"/>
    <w:pPr>
      <w:spacing w:after="0" w:line="240" w:lineRule="auto"/>
      <w:ind w:left="600" w:firstLine="720"/>
      <w:jc w:val="both"/>
    </w:pPr>
    <w:rPr>
      <w:rFonts w:ascii="Times New Roman" w:eastAsia="Times New Roman" w:hAnsi="Times New Roman"/>
      <w:sz w:val="24"/>
      <w:szCs w:val="24"/>
      <w:lang w:eastAsia="it-IT"/>
    </w:rPr>
  </w:style>
  <w:style w:type="character" w:customStyle="1" w:styleId="BodyTextIndent2Char">
    <w:name w:val="Body Text Indent 2 Char"/>
    <w:basedOn w:val="DefaultParagraphFont"/>
    <w:link w:val="BodyTextIndent2"/>
    <w:uiPriority w:val="99"/>
    <w:semiHidden/>
    <w:locked/>
    <w:rsid w:val="00E564CC"/>
    <w:rPr>
      <w:rFonts w:ascii="Times New Roman" w:hAnsi="Times New Roman" w:cs="Times New Roman"/>
      <w:sz w:val="24"/>
      <w:szCs w:val="24"/>
      <w:lang w:eastAsia="it-IT"/>
    </w:rPr>
  </w:style>
  <w:style w:type="paragraph" w:styleId="BodyText2">
    <w:name w:val="Body Text 2"/>
    <w:basedOn w:val="Normal"/>
    <w:link w:val="BodyText2Char"/>
    <w:uiPriority w:val="99"/>
    <w:semiHidden/>
    <w:rsid w:val="00601D68"/>
    <w:pPr>
      <w:spacing w:after="120" w:line="480" w:lineRule="auto"/>
    </w:pPr>
  </w:style>
  <w:style w:type="character" w:customStyle="1" w:styleId="BodyText2Char">
    <w:name w:val="Body Text 2 Char"/>
    <w:basedOn w:val="DefaultParagraphFont"/>
    <w:link w:val="BodyText2"/>
    <w:uiPriority w:val="99"/>
    <w:semiHidden/>
    <w:locked/>
    <w:rsid w:val="00601D68"/>
    <w:rPr>
      <w:rFonts w:cs="Times New Roman"/>
    </w:rPr>
  </w:style>
  <w:style w:type="paragraph" w:styleId="Header">
    <w:name w:val="header"/>
    <w:basedOn w:val="Normal"/>
    <w:link w:val="HeaderChar"/>
    <w:uiPriority w:val="99"/>
    <w:semiHidden/>
    <w:rsid w:val="00CC013B"/>
    <w:pPr>
      <w:tabs>
        <w:tab w:val="center" w:pos="4819"/>
        <w:tab w:val="right" w:pos="9638"/>
      </w:tabs>
      <w:spacing w:after="0" w:line="240" w:lineRule="auto"/>
    </w:pPr>
  </w:style>
  <w:style w:type="character" w:customStyle="1" w:styleId="HeaderChar">
    <w:name w:val="Header Char"/>
    <w:basedOn w:val="DefaultParagraphFont"/>
    <w:link w:val="Header"/>
    <w:uiPriority w:val="99"/>
    <w:semiHidden/>
    <w:locked/>
    <w:rsid w:val="00CC013B"/>
    <w:rPr>
      <w:rFonts w:cs="Times New Roman"/>
    </w:rPr>
  </w:style>
  <w:style w:type="paragraph" w:styleId="Footer">
    <w:name w:val="footer"/>
    <w:basedOn w:val="Normal"/>
    <w:link w:val="FooterChar"/>
    <w:uiPriority w:val="99"/>
    <w:rsid w:val="00CC013B"/>
    <w:pPr>
      <w:tabs>
        <w:tab w:val="center" w:pos="4819"/>
        <w:tab w:val="right" w:pos="9638"/>
      </w:tabs>
      <w:spacing w:after="0" w:line="240" w:lineRule="auto"/>
    </w:pPr>
  </w:style>
  <w:style w:type="character" w:customStyle="1" w:styleId="FooterChar">
    <w:name w:val="Footer Char"/>
    <w:basedOn w:val="DefaultParagraphFont"/>
    <w:link w:val="Footer"/>
    <w:uiPriority w:val="99"/>
    <w:locked/>
    <w:rsid w:val="00CC013B"/>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4</Pages>
  <Words>1912</Words>
  <Characters>10903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Blocco del servizio taxi e diritti costituzionali dei cittadini</dc:title>
  <dc:subject/>
  <dc:creator>vsgro</dc:creator>
  <cp:keywords/>
  <dc:description/>
  <cp:lastModifiedBy>4</cp:lastModifiedBy>
  <cp:revision>2</cp:revision>
  <dcterms:created xsi:type="dcterms:W3CDTF">2012-07-02T13:24:00Z</dcterms:created>
  <dcterms:modified xsi:type="dcterms:W3CDTF">2012-07-02T13:24:00Z</dcterms:modified>
</cp:coreProperties>
</file>